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6E9CFA" w14:textId="77777777" w:rsidR="00E804D0" w:rsidRPr="002401B7" w:rsidRDefault="000A7A04" w:rsidP="00E54478">
      <w:pPr>
        <w:jc w:val="center"/>
        <w:rPr>
          <w:rFonts w:cs="Arial"/>
          <w:bCs/>
          <w:sz w:val="48"/>
          <w:szCs w:val="48"/>
        </w:rPr>
      </w:pPr>
      <w:bookmarkStart w:id="0" w:name="_Toc504554611"/>
      <w:bookmarkStart w:id="1" w:name="_Toc7269164"/>
      <w:bookmarkStart w:id="2" w:name="_Toc15374493"/>
      <w:bookmarkStart w:id="3" w:name="_Toc20727211"/>
      <w:bookmarkStart w:id="4" w:name="_Toc38100254"/>
      <w:r w:rsidRPr="002401B7">
        <w:rPr>
          <w:b/>
          <w:bCs/>
          <w:sz w:val="48"/>
          <w:szCs w:val="48"/>
        </w:rPr>
        <w:t>CHAPTER</w:t>
      </w:r>
      <w:r w:rsidRPr="002401B7">
        <w:rPr>
          <w:rFonts w:cs="Arial"/>
          <w:b/>
          <w:bCs/>
          <w:sz w:val="48"/>
          <w:szCs w:val="48"/>
        </w:rPr>
        <w:t xml:space="preserve"> 2</w:t>
      </w:r>
    </w:p>
    <w:p w14:paraId="1588EC1A" w14:textId="77777777" w:rsidR="0000548C" w:rsidRPr="00FC3F38" w:rsidRDefault="000A7A04" w:rsidP="00E54478">
      <w:pPr>
        <w:jc w:val="center"/>
        <w:rPr>
          <w:rFonts w:cs="Arial"/>
          <w:b/>
          <w:sz w:val="52"/>
          <w:szCs w:val="52"/>
        </w:rPr>
      </w:pPr>
      <w:r w:rsidRPr="00FC3F38">
        <w:rPr>
          <w:rFonts w:cs="Arial"/>
          <w:b/>
          <w:sz w:val="52"/>
          <w:szCs w:val="52"/>
        </w:rPr>
        <w:t>FINANCIAL MANAGEMENT</w:t>
      </w:r>
    </w:p>
    <w:p w14:paraId="40D66DA6" w14:textId="77777777" w:rsidR="00645446" w:rsidRPr="00260E6C" w:rsidRDefault="00645446" w:rsidP="00E54478">
      <w:pPr>
        <w:jc w:val="center"/>
        <w:rPr>
          <w:rFonts w:cs="Arial"/>
          <w:b/>
          <w:szCs w:val="22"/>
        </w:rPr>
      </w:pPr>
    </w:p>
    <w:p w14:paraId="7D3948BA" w14:textId="55F356F7" w:rsidR="00645446" w:rsidRPr="00FC3F38" w:rsidRDefault="00645446" w:rsidP="00E54478">
      <w:pPr>
        <w:jc w:val="center"/>
        <w:rPr>
          <w:rFonts w:cs="Arial"/>
          <w:sz w:val="28"/>
          <w:szCs w:val="28"/>
        </w:rPr>
      </w:pPr>
      <w:r w:rsidRPr="00FC3F38">
        <w:rPr>
          <w:rFonts w:cs="Arial"/>
          <w:sz w:val="28"/>
          <w:szCs w:val="28"/>
        </w:rPr>
        <w:t>TABLE OF CONTENTS</w:t>
      </w:r>
      <w:r w:rsidR="00605E54">
        <w:rPr>
          <w:rFonts w:cs="Arial"/>
          <w:sz w:val="28"/>
          <w:szCs w:val="28"/>
        </w:rPr>
        <w:t xml:space="preserve"> </w:t>
      </w:r>
    </w:p>
    <w:p w14:paraId="19A7F618" w14:textId="77777777" w:rsidR="00D02A9C" w:rsidRDefault="00D02A9C" w:rsidP="00E54478">
      <w:pPr>
        <w:tabs>
          <w:tab w:val="left" w:pos="1620"/>
          <w:tab w:val="right" w:pos="9540"/>
        </w:tabs>
        <w:rPr>
          <w:rFonts w:cs="Arial"/>
        </w:rPr>
      </w:pPr>
    </w:p>
    <w:p w14:paraId="5B98A732" w14:textId="77777777" w:rsidR="00645446" w:rsidRPr="00AC6DD2" w:rsidRDefault="00E40731" w:rsidP="00E54478">
      <w:pPr>
        <w:tabs>
          <w:tab w:val="left" w:pos="1620"/>
          <w:tab w:val="right" w:pos="9540"/>
        </w:tabs>
        <w:jc w:val="right"/>
        <w:rPr>
          <w:rFonts w:cs="Arial"/>
          <w:szCs w:val="22"/>
        </w:rPr>
      </w:pPr>
      <w:r w:rsidRPr="00AC6DD2">
        <w:rPr>
          <w:rFonts w:cs="Arial"/>
          <w:szCs w:val="22"/>
        </w:rPr>
        <w:t>Page</w:t>
      </w:r>
    </w:p>
    <w:p w14:paraId="79285637" w14:textId="0BF25ECB" w:rsidR="00AC6DD2" w:rsidRPr="00AC6DD2" w:rsidRDefault="00657A7A">
      <w:pPr>
        <w:pStyle w:val="TOC1"/>
        <w:tabs>
          <w:tab w:val="right" w:leader="dot" w:pos="9926"/>
        </w:tabs>
        <w:rPr>
          <w:rFonts w:ascii="Arial" w:eastAsiaTheme="minorEastAsia" w:hAnsi="Arial" w:cs="Arial"/>
          <w:b w:val="0"/>
          <w:bCs w:val="0"/>
          <w:caps w:val="0"/>
          <w:noProof/>
          <w:kern w:val="2"/>
          <w:sz w:val="22"/>
          <w:szCs w:val="22"/>
          <w14:ligatures w14:val="standardContextual"/>
        </w:rPr>
      </w:pPr>
      <w:r w:rsidRPr="00AC6DD2">
        <w:rPr>
          <w:rFonts w:ascii="Arial" w:hAnsi="Arial" w:cs="Arial"/>
          <w:sz w:val="22"/>
          <w:szCs w:val="22"/>
        </w:rPr>
        <w:fldChar w:fldCharType="begin"/>
      </w:r>
      <w:r w:rsidRPr="00AC6DD2">
        <w:rPr>
          <w:rFonts w:ascii="Arial" w:hAnsi="Arial" w:cs="Arial"/>
          <w:sz w:val="22"/>
          <w:szCs w:val="22"/>
        </w:rPr>
        <w:instrText xml:space="preserve"> TOC \o "1-2" \h \z \u </w:instrText>
      </w:r>
      <w:r w:rsidRPr="00AC6DD2">
        <w:rPr>
          <w:rFonts w:ascii="Arial" w:hAnsi="Arial" w:cs="Arial"/>
          <w:sz w:val="22"/>
          <w:szCs w:val="22"/>
        </w:rPr>
        <w:fldChar w:fldCharType="separate"/>
      </w:r>
      <w:hyperlink w:anchor="_Toc171781480" w:history="1">
        <w:r w:rsidR="00AC6DD2" w:rsidRPr="00AC6DD2">
          <w:rPr>
            <w:rStyle w:val="Hyperlink"/>
            <w:rFonts w:ascii="Arial" w:hAnsi="Arial" w:cs="Arial"/>
            <w:noProof/>
            <w:sz w:val="22"/>
            <w:szCs w:val="22"/>
          </w:rPr>
          <w:t>2.0 Introduction</w:t>
        </w:r>
        <w:r w:rsidR="00AC6DD2" w:rsidRPr="00AC6DD2">
          <w:rPr>
            <w:rFonts w:ascii="Arial" w:hAnsi="Arial" w:cs="Arial"/>
            <w:noProof/>
            <w:webHidden/>
            <w:sz w:val="22"/>
            <w:szCs w:val="22"/>
          </w:rPr>
          <w:tab/>
        </w:r>
        <w:r w:rsidR="00AC6DD2" w:rsidRPr="00AC6DD2">
          <w:rPr>
            <w:rFonts w:ascii="Arial" w:hAnsi="Arial" w:cs="Arial"/>
            <w:noProof/>
            <w:webHidden/>
            <w:sz w:val="22"/>
            <w:szCs w:val="22"/>
          </w:rPr>
          <w:fldChar w:fldCharType="begin"/>
        </w:r>
        <w:r w:rsidR="00AC6DD2" w:rsidRPr="00AC6DD2">
          <w:rPr>
            <w:rFonts w:ascii="Arial" w:hAnsi="Arial" w:cs="Arial"/>
            <w:noProof/>
            <w:webHidden/>
            <w:sz w:val="22"/>
            <w:szCs w:val="22"/>
          </w:rPr>
          <w:instrText xml:space="preserve"> PAGEREF _Toc171781480 \h </w:instrText>
        </w:r>
        <w:r w:rsidR="00AC6DD2" w:rsidRPr="00AC6DD2">
          <w:rPr>
            <w:rFonts w:ascii="Arial" w:hAnsi="Arial" w:cs="Arial"/>
            <w:noProof/>
            <w:webHidden/>
            <w:sz w:val="22"/>
            <w:szCs w:val="22"/>
          </w:rPr>
        </w:r>
        <w:r w:rsidR="00AC6DD2" w:rsidRPr="00AC6DD2">
          <w:rPr>
            <w:rFonts w:ascii="Arial" w:hAnsi="Arial" w:cs="Arial"/>
            <w:noProof/>
            <w:webHidden/>
            <w:sz w:val="22"/>
            <w:szCs w:val="22"/>
          </w:rPr>
          <w:fldChar w:fldCharType="separate"/>
        </w:r>
        <w:r w:rsidR="00AC6DD2" w:rsidRPr="00AC6DD2">
          <w:rPr>
            <w:rFonts w:ascii="Arial" w:hAnsi="Arial" w:cs="Arial"/>
            <w:noProof/>
            <w:webHidden/>
            <w:sz w:val="22"/>
            <w:szCs w:val="22"/>
          </w:rPr>
          <w:t>3</w:t>
        </w:r>
        <w:r w:rsidR="00AC6DD2" w:rsidRPr="00AC6DD2">
          <w:rPr>
            <w:rFonts w:ascii="Arial" w:hAnsi="Arial" w:cs="Arial"/>
            <w:noProof/>
            <w:webHidden/>
            <w:sz w:val="22"/>
            <w:szCs w:val="22"/>
          </w:rPr>
          <w:fldChar w:fldCharType="end"/>
        </w:r>
      </w:hyperlink>
    </w:p>
    <w:p w14:paraId="1B80749E" w14:textId="164D98D7" w:rsidR="00AC6DD2" w:rsidRPr="00AC6DD2" w:rsidRDefault="00AC6DD2">
      <w:pPr>
        <w:pStyle w:val="TOC1"/>
        <w:tabs>
          <w:tab w:val="right" w:leader="dot" w:pos="9926"/>
        </w:tabs>
        <w:rPr>
          <w:rFonts w:ascii="Arial" w:eastAsiaTheme="minorEastAsia" w:hAnsi="Arial" w:cs="Arial"/>
          <w:b w:val="0"/>
          <w:bCs w:val="0"/>
          <w:caps w:val="0"/>
          <w:noProof/>
          <w:kern w:val="2"/>
          <w:sz w:val="22"/>
          <w:szCs w:val="22"/>
          <w14:ligatures w14:val="standardContextual"/>
        </w:rPr>
      </w:pPr>
      <w:hyperlink w:anchor="_Toc171781481" w:history="1">
        <w:r w:rsidRPr="00AC6DD2">
          <w:rPr>
            <w:rStyle w:val="Hyperlink"/>
            <w:rFonts w:ascii="Arial" w:hAnsi="Arial" w:cs="Arial"/>
            <w:noProof/>
            <w:sz w:val="22"/>
            <w:szCs w:val="22"/>
          </w:rPr>
          <w:t>2.1 Accounting Procedures</w:t>
        </w:r>
        <w:r w:rsidRPr="00AC6DD2">
          <w:rPr>
            <w:rFonts w:ascii="Arial" w:hAnsi="Arial" w:cs="Arial"/>
            <w:noProof/>
            <w:webHidden/>
            <w:sz w:val="22"/>
            <w:szCs w:val="22"/>
          </w:rPr>
          <w:tab/>
        </w:r>
        <w:r w:rsidRPr="00AC6DD2">
          <w:rPr>
            <w:rFonts w:ascii="Arial" w:hAnsi="Arial" w:cs="Arial"/>
            <w:noProof/>
            <w:webHidden/>
            <w:sz w:val="22"/>
            <w:szCs w:val="22"/>
          </w:rPr>
          <w:fldChar w:fldCharType="begin"/>
        </w:r>
        <w:r w:rsidRPr="00AC6DD2">
          <w:rPr>
            <w:rFonts w:ascii="Arial" w:hAnsi="Arial" w:cs="Arial"/>
            <w:noProof/>
            <w:webHidden/>
            <w:sz w:val="22"/>
            <w:szCs w:val="22"/>
          </w:rPr>
          <w:instrText xml:space="preserve"> PAGEREF _Toc171781481 \h </w:instrText>
        </w:r>
        <w:r w:rsidRPr="00AC6DD2">
          <w:rPr>
            <w:rFonts w:ascii="Arial" w:hAnsi="Arial" w:cs="Arial"/>
            <w:noProof/>
            <w:webHidden/>
            <w:sz w:val="22"/>
            <w:szCs w:val="22"/>
          </w:rPr>
        </w:r>
        <w:r w:rsidRPr="00AC6DD2">
          <w:rPr>
            <w:rFonts w:ascii="Arial" w:hAnsi="Arial" w:cs="Arial"/>
            <w:noProof/>
            <w:webHidden/>
            <w:sz w:val="22"/>
            <w:szCs w:val="22"/>
          </w:rPr>
          <w:fldChar w:fldCharType="separate"/>
        </w:r>
        <w:r w:rsidRPr="00AC6DD2">
          <w:rPr>
            <w:rFonts w:ascii="Arial" w:hAnsi="Arial" w:cs="Arial"/>
            <w:noProof/>
            <w:webHidden/>
            <w:sz w:val="22"/>
            <w:szCs w:val="22"/>
          </w:rPr>
          <w:t>3</w:t>
        </w:r>
        <w:r w:rsidRPr="00AC6DD2">
          <w:rPr>
            <w:rFonts w:ascii="Arial" w:hAnsi="Arial" w:cs="Arial"/>
            <w:noProof/>
            <w:webHidden/>
            <w:sz w:val="22"/>
            <w:szCs w:val="22"/>
          </w:rPr>
          <w:fldChar w:fldCharType="end"/>
        </w:r>
      </w:hyperlink>
    </w:p>
    <w:p w14:paraId="2A0695F6" w14:textId="53637A59" w:rsidR="00AC6DD2" w:rsidRPr="00AC6DD2" w:rsidRDefault="00AC6DD2">
      <w:pPr>
        <w:pStyle w:val="TOC2"/>
        <w:rPr>
          <w:rFonts w:ascii="Arial" w:eastAsiaTheme="minorEastAsia" w:hAnsi="Arial" w:cs="Arial"/>
          <w:smallCaps w:val="0"/>
          <w:noProof/>
          <w:kern w:val="2"/>
          <w:sz w:val="22"/>
          <w:szCs w:val="22"/>
          <w14:ligatures w14:val="standardContextual"/>
        </w:rPr>
      </w:pPr>
      <w:hyperlink w:anchor="_Toc171781482" w:history="1">
        <w:r w:rsidRPr="00AC6DD2">
          <w:rPr>
            <w:rStyle w:val="Hyperlink"/>
            <w:rFonts w:ascii="Arial" w:hAnsi="Arial" w:cs="Arial"/>
            <w:noProof/>
            <w:sz w:val="22"/>
            <w:szCs w:val="22"/>
          </w:rPr>
          <w:t>2.1.1 Establish Internal Controls</w:t>
        </w:r>
        <w:r w:rsidRPr="00AC6DD2">
          <w:rPr>
            <w:rFonts w:ascii="Arial" w:hAnsi="Arial" w:cs="Arial"/>
            <w:noProof/>
            <w:webHidden/>
            <w:sz w:val="22"/>
            <w:szCs w:val="22"/>
          </w:rPr>
          <w:tab/>
        </w:r>
        <w:r w:rsidRPr="00AC6DD2">
          <w:rPr>
            <w:rFonts w:ascii="Arial" w:hAnsi="Arial" w:cs="Arial"/>
            <w:noProof/>
            <w:webHidden/>
            <w:sz w:val="22"/>
            <w:szCs w:val="22"/>
          </w:rPr>
          <w:fldChar w:fldCharType="begin"/>
        </w:r>
        <w:r w:rsidRPr="00AC6DD2">
          <w:rPr>
            <w:rFonts w:ascii="Arial" w:hAnsi="Arial" w:cs="Arial"/>
            <w:noProof/>
            <w:webHidden/>
            <w:sz w:val="22"/>
            <w:szCs w:val="22"/>
          </w:rPr>
          <w:instrText xml:space="preserve"> PAGEREF _Toc171781482 \h </w:instrText>
        </w:r>
        <w:r w:rsidRPr="00AC6DD2">
          <w:rPr>
            <w:rFonts w:ascii="Arial" w:hAnsi="Arial" w:cs="Arial"/>
            <w:noProof/>
            <w:webHidden/>
            <w:sz w:val="22"/>
            <w:szCs w:val="22"/>
          </w:rPr>
        </w:r>
        <w:r w:rsidRPr="00AC6DD2">
          <w:rPr>
            <w:rFonts w:ascii="Arial" w:hAnsi="Arial" w:cs="Arial"/>
            <w:noProof/>
            <w:webHidden/>
            <w:sz w:val="22"/>
            <w:szCs w:val="22"/>
          </w:rPr>
          <w:fldChar w:fldCharType="separate"/>
        </w:r>
        <w:r w:rsidRPr="00AC6DD2">
          <w:rPr>
            <w:rFonts w:ascii="Arial" w:hAnsi="Arial" w:cs="Arial"/>
            <w:noProof/>
            <w:webHidden/>
            <w:sz w:val="22"/>
            <w:szCs w:val="22"/>
          </w:rPr>
          <w:t>3</w:t>
        </w:r>
        <w:r w:rsidRPr="00AC6DD2">
          <w:rPr>
            <w:rFonts w:ascii="Arial" w:hAnsi="Arial" w:cs="Arial"/>
            <w:noProof/>
            <w:webHidden/>
            <w:sz w:val="22"/>
            <w:szCs w:val="22"/>
          </w:rPr>
          <w:fldChar w:fldCharType="end"/>
        </w:r>
      </w:hyperlink>
    </w:p>
    <w:p w14:paraId="59B3B98F" w14:textId="430E0ECE" w:rsidR="00AC6DD2" w:rsidRPr="00AC6DD2" w:rsidRDefault="00AC6DD2">
      <w:pPr>
        <w:pStyle w:val="TOC2"/>
        <w:rPr>
          <w:rFonts w:ascii="Arial" w:eastAsiaTheme="minorEastAsia" w:hAnsi="Arial" w:cs="Arial"/>
          <w:smallCaps w:val="0"/>
          <w:noProof/>
          <w:kern w:val="2"/>
          <w:sz w:val="22"/>
          <w:szCs w:val="22"/>
          <w14:ligatures w14:val="standardContextual"/>
        </w:rPr>
      </w:pPr>
      <w:hyperlink w:anchor="_Toc171781483" w:history="1">
        <w:r w:rsidRPr="00AC6DD2">
          <w:rPr>
            <w:rStyle w:val="Hyperlink"/>
            <w:rFonts w:ascii="Arial" w:hAnsi="Arial" w:cs="Arial"/>
            <w:noProof/>
            <w:sz w:val="22"/>
            <w:szCs w:val="22"/>
          </w:rPr>
          <w:t>2.1.2 Establish/Maintain Document Files and Records</w:t>
        </w:r>
        <w:r w:rsidRPr="00AC6DD2">
          <w:rPr>
            <w:rFonts w:ascii="Arial" w:hAnsi="Arial" w:cs="Arial"/>
            <w:noProof/>
            <w:webHidden/>
            <w:sz w:val="22"/>
            <w:szCs w:val="22"/>
          </w:rPr>
          <w:tab/>
        </w:r>
        <w:r w:rsidRPr="00AC6DD2">
          <w:rPr>
            <w:rFonts w:ascii="Arial" w:hAnsi="Arial" w:cs="Arial"/>
            <w:noProof/>
            <w:webHidden/>
            <w:sz w:val="22"/>
            <w:szCs w:val="22"/>
          </w:rPr>
          <w:fldChar w:fldCharType="begin"/>
        </w:r>
        <w:r w:rsidRPr="00AC6DD2">
          <w:rPr>
            <w:rFonts w:ascii="Arial" w:hAnsi="Arial" w:cs="Arial"/>
            <w:noProof/>
            <w:webHidden/>
            <w:sz w:val="22"/>
            <w:szCs w:val="22"/>
          </w:rPr>
          <w:instrText xml:space="preserve"> PAGEREF _Toc171781483 \h </w:instrText>
        </w:r>
        <w:r w:rsidRPr="00AC6DD2">
          <w:rPr>
            <w:rFonts w:ascii="Arial" w:hAnsi="Arial" w:cs="Arial"/>
            <w:noProof/>
            <w:webHidden/>
            <w:sz w:val="22"/>
            <w:szCs w:val="22"/>
          </w:rPr>
        </w:r>
        <w:r w:rsidRPr="00AC6DD2">
          <w:rPr>
            <w:rFonts w:ascii="Arial" w:hAnsi="Arial" w:cs="Arial"/>
            <w:noProof/>
            <w:webHidden/>
            <w:sz w:val="22"/>
            <w:szCs w:val="22"/>
          </w:rPr>
          <w:fldChar w:fldCharType="separate"/>
        </w:r>
        <w:r w:rsidRPr="00AC6DD2">
          <w:rPr>
            <w:rFonts w:ascii="Arial" w:hAnsi="Arial" w:cs="Arial"/>
            <w:noProof/>
            <w:webHidden/>
            <w:sz w:val="22"/>
            <w:szCs w:val="22"/>
          </w:rPr>
          <w:t>4</w:t>
        </w:r>
        <w:r w:rsidRPr="00AC6DD2">
          <w:rPr>
            <w:rFonts w:ascii="Arial" w:hAnsi="Arial" w:cs="Arial"/>
            <w:noProof/>
            <w:webHidden/>
            <w:sz w:val="22"/>
            <w:szCs w:val="22"/>
          </w:rPr>
          <w:fldChar w:fldCharType="end"/>
        </w:r>
      </w:hyperlink>
    </w:p>
    <w:p w14:paraId="5EE28FD2" w14:textId="2392F58B" w:rsidR="00AC6DD2" w:rsidRPr="00AC6DD2" w:rsidRDefault="00AC6DD2">
      <w:pPr>
        <w:pStyle w:val="TOC2"/>
        <w:rPr>
          <w:rFonts w:ascii="Arial" w:eastAsiaTheme="minorEastAsia" w:hAnsi="Arial" w:cs="Arial"/>
          <w:smallCaps w:val="0"/>
          <w:noProof/>
          <w:kern w:val="2"/>
          <w:sz w:val="22"/>
          <w:szCs w:val="22"/>
          <w14:ligatures w14:val="standardContextual"/>
        </w:rPr>
      </w:pPr>
      <w:hyperlink w:anchor="_Toc171781484" w:history="1">
        <w:r w:rsidRPr="00AC6DD2">
          <w:rPr>
            <w:rStyle w:val="Hyperlink"/>
            <w:rFonts w:ascii="Arial" w:hAnsi="Arial" w:cs="Arial"/>
            <w:noProof/>
            <w:sz w:val="22"/>
            <w:szCs w:val="22"/>
          </w:rPr>
          <w:t>2.1.3 Establish Responsible Persons</w:t>
        </w:r>
        <w:r w:rsidRPr="00AC6DD2">
          <w:rPr>
            <w:rFonts w:ascii="Arial" w:hAnsi="Arial" w:cs="Arial"/>
            <w:noProof/>
            <w:webHidden/>
            <w:sz w:val="22"/>
            <w:szCs w:val="22"/>
          </w:rPr>
          <w:tab/>
        </w:r>
        <w:r w:rsidRPr="00AC6DD2">
          <w:rPr>
            <w:rFonts w:ascii="Arial" w:hAnsi="Arial" w:cs="Arial"/>
            <w:noProof/>
            <w:webHidden/>
            <w:sz w:val="22"/>
            <w:szCs w:val="22"/>
          </w:rPr>
          <w:fldChar w:fldCharType="begin"/>
        </w:r>
        <w:r w:rsidRPr="00AC6DD2">
          <w:rPr>
            <w:rFonts w:ascii="Arial" w:hAnsi="Arial" w:cs="Arial"/>
            <w:noProof/>
            <w:webHidden/>
            <w:sz w:val="22"/>
            <w:szCs w:val="22"/>
          </w:rPr>
          <w:instrText xml:space="preserve"> PAGEREF _Toc171781484 \h </w:instrText>
        </w:r>
        <w:r w:rsidRPr="00AC6DD2">
          <w:rPr>
            <w:rFonts w:ascii="Arial" w:hAnsi="Arial" w:cs="Arial"/>
            <w:noProof/>
            <w:webHidden/>
            <w:sz w:val="22"/>
            <w:szCs w:val="22"/>
          </w:rPr>
        </w:r>
        <w:r w:rsidRPr="00AC6DD2">
          <w:rPr>
            <w:rFonts w:ascii="Arial" w:hAnsi="Arial" w:cs="Arial"/>
            <w:noProof/>
            <w:webHidden/>
            <w:sz w:val="22"/>
            <w:szCs w:val="22"/>
          </w:rPr>
          <w:fldChar w:fldCharType="separate"/>
        </w:r>
        <w:r w:rsidRPr="00AC6DD2">
          <w:rPr>
            <w:rFonts w:ascii="Arial" w:hAnsi="Arial" w:cs="Arial"/>
            <w:noProof/>
            <w:webHidden/>
            <w:sz w:val="22"/>
            <w:szCs w:val="22"/>
          </w:rPr>
          <w:t>5</w:t>
        </w:r>
        <w:r w:rsidRPr="00AC6DD2">
          <w:rPr>
            <w:rFonts w:ascii="Arial" w:hAnsi="Arial" w:cs="Arial"/>
            <w:noProof/>
            <w:webHidden/>
            <w:sz w:val="22"/>
            <w:szCs w:val="22"/>
          </w:rPr>
          <w:fldChar w:fldCharType="end"/>
        </w:r>
      </w:hyperlink>
    </w:p>
    <w:p w14:paraId="34B44235" w14:textId="2D9EED45" w:rsidR="00AC6DD2" w:rsidRPr="00AC6DD2" w:rsidRDefault="00AC6DD2">
      <w:pPr>
        <w:pStyle w:val="TOC2"/>
        <w:rPr>
          <w:rFonts w:ascii="Arial" w:eastAsiaTheme="minorEastAsia" w:hAnsi="Arial" w:cs="Arial"/>
          <w:smallCaps w:val="0"/>
          <w:noProof/>
          <w:kern w:val="2"/>
          <w:sz w:val="22"/>
          <w:szCs w:val="22"/>
          <w14:ligatures w14:val="standardContextual"/>
        </w:rPr>
      </w:pPr>
      <w:hyperlink w:anchor="_Toc171781485" w:history="1">
        <w:r w:rsidRPr="00AC6DD2">
          <w:rPr>
            <w:rStyle w:val="Hyperlink"/>
            <w:rFonts w:ascii="Arial" w:hAnsi="Arial" w:cs="Arial"/>
            <w:noProof/>
            <w:sz w:val="22"/>
            <w:szCs w:val="22"/>
          </w:rPr>
          <w:t>2.1.4 Establish Grant Account with TDA</w:t>
        </w:r>
        <w:r w:rsidRPr="00AC6DD2">
          <w:rPr>
            <w:rFonts w:ascii="Arial" w:hAnsi="Arial" w:cs="Arial"/>
            <w:noProof/>
            <w:webHidden/>
            <w:sz w:val="22"/>
            <w:szCs w:val="22"/>
          </w:rPr>
          <w:tab/>
        </w:r>
        <w:r w:rsidRPr="00AC6DD2">
          <w:rPr>
            <w:rFonts w:ascii="Arial" w:hAnsi="Arial" w:cs="Arial"/>
            <w:noProof/>
            <w:webHidden/>
            <w:sz w:val="22"/>
            <w:szCs w:val="22"/>
          </w:rPr>
          <w:fldChar w:fldCharType="begin"/>
        </w:r>
        <w:r w:rsidRPr="00AC6DD2">
          <w:rPr>
            <w:rFonts w:ascii="Arial" w:hAnsi="Arial" w:cs="Arial"/>
            <w:noProof/>
            <w:webHidden/>
            <w:sz w:val="22"/>
            <w:szCs w:val="22"/>
          </w:rPr>
          <w:instrText xml:space="preserve"> PAGEREF _Toc171781485 \h </w:instrText>
        </w:r>
        <w:r w:rsidRPr="00AC6DD2">
          <w:rPr>
            <w:rFonts w:ascii="Arial" w:hAnsi="Arial" w:cs="Arial"/>
            <w:noProof/>
            <w:webHidden/>
            <w:sz w:val="22"/>
            <w:szCs w:val="22"/>
          </w:rPr>
        </w:r>
        <w:r w:rsidRPr="00AC6DD2">
          <w:rPr>
            <w:rFonts w:ascii="Arial" w:hAnsi="Arial" w:cs="Arial"/>
            <w:noProof/>
            <w:webHidden/>
            <w:sz w:val="22"/>
            <w:szCs w:val="22"/>
          </w:rPr>
          <w:fldChar w:fldCharType="separate"/>
        </w:r>
        <w:r w:rsidRPr="00AC6DD2">
          <w:rPr>
            <w:rFonts w:ascii="Arial" w:hAnsi="Arial" w:cs="Arial"/>
            <w:noProof/>
            <w:webHidden/>
            <w:sz w:val="22"/>
            <w:szCs w:val="22"/>
          </w:rPr>
          <w:t>5</w:t>
        </w:r>
        <w:r w:rsidRPr="00AC6DD2">
          <w:rPr>
            <w:rFonts w:ascii="Arial" w:hAnsi="Arial" w:cs="Arial"/>
            <w:noProof/>
            <w:webHidden/>
            <w:sz w:val="22"/>
            <w:szCs w:val="22"/>
          </w:rPr>
          <w:fldChar w:fldCharType="end"/>
        </w:r>
      </w:hyperlink>
    </w:p>
    <w:p w14:paraId="025CB9B5" w14:textId="58AC9E5B" w:rsidR="00AC6DD2" w:rsidRPr="00AC6DD2" w:rsidRDefault="00AC6DD2">
      <w:pPr>
        <w:pStyle w:val="TOC2"/>
        <w:rPr>
          <w:rFonts w:ascii="Arial" w:eastAsiaTheme="minorEastAsia" w:hAnsi="Arial" w:cs="Arial"/>
          <w:smallCaps w:val="0"/>
          <w:noProof/>
          <w:kern w:val="2"/>
          <w:sz w:val="22"/>
          <w:szCs w:val="22"/>
          <w14:ligatures w14:val="standardContextual"/>
        </w:rPr>
      </w:pPr>
      <w:hyperlink w:anchor="_Toc171781486" w:history="1">
        <w:r w:rsidRPr="00AC6DD2">
          <w:rPr>
            <w:rStyle w:val="Hyperlink"/>
            <w:rFonts w:ascii="Arial" w:hAnsi="Arial" w:cs="Arial"/>
            <w:noProof/>
            <w:sz w:val="22"/>
            <w:szCs w:val="22"/>
          </w:rPr>
          <w:t>2.1.5 Grant Agreement Detailed Budget Summary Table</w:t>
        </w:r>
        <w:r w:rsidRPr="00AC6DD2">
          <w:rPr>
            <w:rFonts w:ascii="Arial" w:hAnsi="Arial" w:cs="Arial"/>
            <w:noProof/>
            <w:webHidden/>
            <w:sz w:val="22"/>
            <w:szCs w:val="22"/>
          </w:rPr>
          <w:tab/>
        </w:r>
        <w:r w:rsidRPr="00AC6DD2">
          <w:rPr>
            <w:rFonts w:ascii="Arial" w:hAnsi="Arial" w:cs="Arial"/>
            <w:noProof/>
            <w:webHidden/>
            <w:sz w:val="22"/>
            <w:szCs w:val="22"/>
          </w:rPr>
          <w:fldChar w:fldCharType="begin"/>
        </w:r>
        <w:r w:rsidRPr="00AC6DD2">
          <w:rPr>
            <w:rFonts w:ascii="Arial" w:hAnsi="Arial" w:cs="Arial"/>
            <w:noProof/>
            <w:webHidden/>
            <w:sz w:val="22"/>
            <w:szCs w:val="22"/>
          </w:rPr>
          <w:instrText xml:space="preserve"> PAGEREF _Toc171781486 \h </w:instrText>
        </w:r>
        <w:r w:rsidRPr="00AC6DD2">
          <w:rPr>
            <w:rFonts w:ascii="Arial" w:hAnsi="Arial" w:cs="Arial"/>
            <w:noProof/>
            <w:webHidden/>
            <w:sz w:val="22"/>
            <w:szCs w:val="22"/>
          </w:rPr>
        </w:r>
        <w:r w:rsidRPr="00AC6DD2">
          <w:rPr>
            <w:rFonts w:ascii="Arial" w:hAnsi="Arial" w:cs="Arial"/>
            <w:noProof/>
            <w:webHidden/>
            <w:sz w:val="22"/>
            <w:szCs w:val="22"/>
          </w:rPr>
          <w:fldChar w:fldCharType="separate"/>
        </w:r>
        <w:r w:rsidRPr="00AC6DD2">
          <w:rPr>
            <w:rFonts w:ascii="Arial" w:hAnsi="Arial" w:cs="Arial"/>
            <w:noProof/>
            <w:webHidden/>
            <w:sz w:val="22"/>
            <w:szCs w:val="22"/>
          </w:rPr>
          <w:t>6</w:t>
        </w:r>
        <w:r w:rsidRPr="00AC6DD2">
          <w:rPr>
            <w:rFonts w:ascii="Arial" w:hAnsi="Arial" w:cs="Arial"/>
            <w:noProof/>
            <w:webHidden/>
            <w:sz w:val="22"/>
            <w:szCs w:val="22"/>
          </w:rPr>
          <w:fldChar w:fldCharType="end"/>
        </w:r>
      </w:hyperlink>
    </w:p>
    <w:p w14:paraId="3A4D0F0C" w14:textId="7C50F810" w:rsidR="00AC6DD2" w:rsidRPr="00AC6DD2" w:rsidRDefault="00AC6DD2">
      <w:pPr>
        <w:pStyle w:val="TOC1"/>
        <w:tabs>
          <w:tab w:val="right" w:leader="dot" w:pos="9926"/>
        </w:tabs>
        <w:rPr>
          <w:rFonts w:ascii="Arial" w:eastAsiaTheme="minorEastAsia" w:hAnsi="Arial" w:cs="Arial"/>
          <w:b w:val="0"/>
          <w:bCs w:val="0"/>
          <w:caps w:val="0"/>
          <w:noProof/>
          <w:kern w:val="2"/>
          <w:sz w:val="22"/>
          <w:szCs w:val="22"/>
          <w14:ligatures w14:val="standardContextual"/>
        </w:rPr>
      </w:pPr>
      <w:hyperlink w:anchor="_Toc171781487" w:history="1">
        <w:r w:rsidRPr="00AC6DD2">
          <w:rPr>
            <w:rStyle w:val="Hyperlink"/>
            <w:rFonts w:ascii="Arial" w:hAnsi="Arial" w:cs="Arial"/>
            <w:noProof/>
            <w:sz w:val="22"/>
            <w:szCs w:val="22"/>
          </w:rPr>
          <w:t>2.2 Thresholds for Fund Disbursement</w:t>
        </w:r>
        <w:r w:rsidRPr="00AC6DD2">
          <w:rPr>
            <w:rFonts w:ascii="Arial" w:hAnsi="Arial" w:cs="Arial"/>
            <w:noProof/>
            <w:webHidden/>
            <w:sz w:val="22"/>
            <w:szCs w:val="22"/>
          </w:rPr>
          <w:tab/>
        </w:r>
        <w:r w:rsidRPr="00AC6DD2">
          <w:rPr>
            <w:rFonts w:ascii="Arial" w:hAnsi="Arial" w:cs="Arial"/>
            <w:noProof/>
            <w:webHidden/>
            <w:sz w:val="22"/>
            <w:szCs w:val="22"/>
          </w:rPr>
          <w:fldChar w:fldCharType="begin"/>
        </w:r>
        <w:r w:rsidRPr="00AC6DD2">
          <w:rPr>
            <w:rFonts w:ascii="Arial" w:hAnsi="Arial" w:cs="Arial"/>
            <w:noProof/>
            <w:webHidden/>
            <w:sz w:val="22"/>
            <w:szCs w:val="22"/>
          </w:rPr>
          <w:instrText xml:space="preserve"> PAGEREF _Toc171781487 \h </w:instrText>
        </w:r>
        <w:r w:rsidRPr="00AC6DD2">
          <w:rPr>
            <w:rFonts w:ascii="Arial" w:hAnsi="Arial" w:cs="Arial"/>
            <w:noProof/>
            <w:webHidden/>
            <w:sz w:val="22"/>
            <w:szCs w:val="22"/>
          </w:rPr>
        </w:r>
        <w:r w:rsidRPr="00AC6DD2">
          <w:rPr>
            <w:rFonts w:ascii="Arial" w:hAnsi="Arial" w:cs="Arial"/>
            <w:noProof/>
            <w:webHidden/>
            <w:sz w:val="22"/>
            <w:szCs w:val="22"/>
          </w:rPr>
          <w:fldChar w:fldCharType="separate"/>
        </w:r>
        <w:r w:rsidRPr="00AC6DD2">
          <w:rPr>
            <w:rFonts w:ascii="Arial" w:hAnsi="Arial" w:cs="Arial"/>
            <w:noProof/>
            <w:webHidden/>
            <w:sz w:val="22"/>
            <w:szCs w:val="22"/>
          </w:rPr>
          <w:t>6</w:t>
        </w:r>
        <w:r w:rsidRPr="00AC6DD2">
          <w:rPr>
            <w:rFonts w:ascii="Arial" w:hAnsi="Arial" w:cs="Arial"/>
            <w:noProof/>
            <w:webHidden/>
            <w:sz w:val="22"/>
            <w:szCs w:val="22"/>
          </w:rPr>
          <w:fldChar w:fldCharType="end"/>
        </w:r>
      </w:hyperlink>
    </w:p>
    <w:p w14:paraId="39472557" w14:textId="6ACD0DAD" w:rsidR="00AC6DD2" w:rsidRPr="00AC6DD2" w:rsidRDefault="00AC6DD2">
      <w:pPr>
        <w:pStyle w:val="TOC1"/>
        <w:tabs>
          <w:tab w:val="right" w:leader="dot" w:pos="9926"/>
        </w:tabs>
        <w:rPr>
          <w:rFonts w:ascii="Arial" w:eastAsiaTheme="minorEastAsia" w:hAnsi="Arial" w:cs="Arial"/>
          <w:b w:val="0"/>
          <w:bCs w:val="0"/>
          <w:caps w:val="0"/>
          <w:noProof/>
          <w:kern w:val="2"/>
          <w:sz w:val="22"/>
          <w:szCs w:val="22"/>
          <w14:ligatures w14:val="standardContextual"/>
        </w:rPr>
      </w:pPr>
      <w:hyperlink w:anchor="_Toc171781488" w:history="1">
        <w:r w:rsidRPr="00AC6DD2">
          <w:rPr>
            <w:rStyle w:val="Hyperlink"/>
            <w:rFonts w:ascii="Arial" w:hAnsi="Arial" w:cs="Arial"/>
            <w:noProof/>
            <w:sz w:val="22"/>
            <w:szCs w:val="22"/>
          </w:rPr>
          <w:t>2.3 Matching Funds</w:t>
        </w:r>
        <w:r w:rsidRPr="00AC6DD2">
          <w:rPr>
            <w:rFonts w:ascii="Arial" w:hAnsi="Arial" w:cs="Arial"/>
            <w:noProof/>
            <w:webHidden/>
            <w:sz w:val="22"/>
            <w:szCs w:val="22"/>
          </w:rPr>
          <w:tab/>
        </w:r>
        <w:r w:rsidRPr="00AC6DD2">
          <w:rPr>
            <w:rFonts w:ascii="Arial" w:hAnsi="Arial" w:cs="Arial"/>
            <w:noProof/>
            <w:webHidden/>
            <w:sz w:val="22"/>
            <w:szCs w:val="22"/>
          </w:rPr>
          <w:fldChar w:fldCharType="begin"/>
        </w:r>
        <w:r w:rsidRPr="00AC6DD2">
          <w:rPr>
            <w:rFonts w:ascii="Arial" w:hAnsi="Arial" w:cs="Arial"/>
            <w:noProof/>
            <w:webHidden/>
            <w:sz w:val="22"/>
            <w:szCs w:val="22"/>
          </w:rPr>
          <w:instrText xml:space="preserve"> PAGEREF _Toc171781488 \h </w:instrText>
        </w:r>
        <w:r w:rsidRPr="00AC6DD2">
          <w:rPr>
            <w:rFonts w:ascii="Arial" w:hAnsi="Arial" w:cs="Arial"/>
            <w:noProof/>
            <w:webHidden/>
            <w:sz w:val="22"/>
            <w:szCs w:val="22"/>
          </w:rPr>
        </w:r>
        <w:r w:rsidRPr="00AC6DD2">
          <w:rPr>
            <w:rFonts w:ascii="Arial" w:hAnsi="Arial" w:cs="Arial"/>
            <w:noProof/>
            <w:webHidden/>
            <w:sz w:val="22"/>
            <w:szCs w:val="22"/>
          </w:rPr>
          <w:fldChar w:fldCharType="separate"/>
        </w:r>
        <w:r w:rsidRPr="00AC6DD2">
          <w:rPr>
            <w:rFonts w:ascii="Arial" w:hAnsi="Arial" w:cs="Arial"/>
            <w:noProof/>
            <w:webHidden/>
            <w:sz w:val="22"/>
            <w:szCs w:val="22"/>
          </w:rPr>
          <w:t>8</w:t>
        </w:r>
        <w:r w:rsidRPr="00AC6DD2">
          <w:rPr>
            <w:rFonts w:ascii="Arial" w:hAnsi="Arial" w:cs="Arial"/>
            <w:noProof/>
            <w:webHidden/>
            <w:sz w:val="22"/>
            <w:szCs w:val="22"/>
          </w:rPr>
          <w:fldChar w:fldCharType="end"/>
        </w:r>
      </w:hyperlink>
    </w:p>
    <w:p w14:paraId="79704D40" w14:textId="4684148A" w:rsidR="00AC6DD2" w:rsidRPr="00AC6DD2" w:rsidRDefault="00AC6DD2">
      <w:pPr>
        <w:pStyle w:val="TOC2"/>
        <w:rPr>
          <w:rFonts w:ascii="Arial" w:eastAsiaTheme="minorEastAsia" w:hAnsi="Arial" w:cs="Arial"/>
          <w:smallCaps w:val="0"/>
          <w:noProof/>
          <w:kern w:val="2"/>
          <w:sz w:val="22"/>
          <w:szCs w:val="22"/>
          <w14:ligatures w14:val="standardContextual"/>
        </w:rPr>
      </w:pPr>
      <w:hyperlink w:anchor="_Toc171781489" w:history="1">
        <w:r w:rsidRPr="00AC6DD2">
          <w:rPr>
            <w:rStyle w:val="Hyperlink"/>
            <w:rFonts w:ascii="Arial" w:hAnsi="Arial" w:cs="Arial"/>
            <w:noProof/>
            <w:sz w:val="22"/>
            <w:szCs w:val="22"/>
          </w:rPr>
          <w:t>2.3.1 Acceptability of Matching Funds</w:t>
        </w:r>
        <w:r w:rsidRPr="00AC6DD2">
          <w:rPr>
            <w:rFonts w:ascii="Arial" w:hAnsi="Arial" w:cs="Arial"/>
            <w:noProof/>
            <w:webHidden/>
            <w:sz w:val="22"/>
            <w:szCs w:val="22"/>
          </w:rPr>
          <w:tab/>
        </w:r>
        <w:r w:rsidRPr="00AC6DD2">
          <w:rPr>
            <w:rFonts w:ascii="Arial" w:hAnsi="Arial" w:cs="Arial"/>
            <w:noProof/>
            <w:webHidden/>
            <w:sz w:val="22"/>
            <w:szCs w:val="22"/>
          </w:rPr>
          <w:fldChar w:fldCharType="begin"/>
        </w:r>
        <w:r w:rsidRPr="00AC6DD2">
          <w:rPr>
            <w:rFonts w:ascii="Arial" w:hAnsi="Arial" w:cs="Arial"/>
            <w:noProof/>
            <w:webHidden/>
            <w:sz w:val="22"/>
            <w:szCs w:val="22"/>
          </w:rPr>
          <w:instrText xml:space="preserve"> PAGEREF _Toc171781489 \h </w:instrText>
        </w:r>
        <w:r w:rsidRPr="00AC6DD2">
          <w:rPr>
            <w:rFonts w:ascii="Arial" w:hAnsi="Arial" w:cs="Arial"/>
            <w:noProof/>
            <w:webHidden/>
            <w:sz w:val="22"/>
            <w:szCs w:val="22"/>
          </w:rPr>
        </w:r>
        <w:r w:rsidRPr="00AC6DD2">
          <w:rPr>
            <w:rFonts w:ascii="Arial" w:hAnsi="Arial" w:cs="Arial"/>
            <w:noProof/>
            <w:webHidden/>
            <w:sz w:val="22"/>
            <w:szCs w:val="22"/>
          </w:rPr>
          <w:fldChar w:fldCharType="separate"/>
        </w:r>
        <w:r w:rsidRPr="00AC6DD2">
          <w:rPr>
            <w:rFonts w:ascii="Arial" w:hAnsi="Arial" w:cs="Arial"/>
            <w:noProof/>
            <w:webHidden/>
            <w:sz w:val="22"/>
            <w:szCs w:val="22"/>
          </w:rPr>
          <w:t>8</w:t>
        </w:r>
        <w:r w:rsidRPr="00AC6DD2">
          <w:rPr>
            <w:rFonts w:ascii="Arial" w:hAnsi="Arial" w:cs="Arial"/>
            <w:noProof/>
            <w:webHidden/>
            <w:sz w:val="22"/>
            <w:szCs w:val="22"/>
          </w:rPr>
          <w:fldChar w:fldCharType="end"/>
        </w:r>
      </w:hyperlink>
    </w:p>
    <w:p w14:paraId="64507780" w14:textId="3E9FA450" w:rsidR="00AC6DD2" w:rsidRPr="00AC6DD2" w:rsidRDefault="00AC6DD2">
      <w:pPr>
        <w:pStyle w:val="TOC2"/>
        <w:rPr>
          <w:rFonts w:ascii="Arial" w:eastAsiaTheme="minorEastAsia" w:hAnsi="Arial" w:cs="Arial"/>
          <w:smallCaps w:val="0"/>
          <w:noProof/>
          <w:kern w:val="2"/>
          <w:sz w:val="22"/>
          <w:szCs w:val="22"/>
          <w14:ligatures w14:val="standardContextual"/>
        </w:rPr>
      </w:pPr>
      <w:hyperlink w:anchor="_Toc171781490" w:history="1">
        <w:r w:rsidRPr="00AC6DD2">
          <w:rPr>
            <w:rStyle w:val="Hyperlink"/>
            <w:rFonts w:ascii="Arial" w:hAnsi="Arial" w:cs="Arial"/>
            <w:noProof/>
            <w:sz w:val="22"/>
            <w:szCs w:val="22"/>
          </w:rPr>
          <w:t>2.3.2 Reducing the Commitment of Matching Funds</w:t>
        </w:r>
        <w:r w:rsidRPr="00AC6DD2">
          <w:rPr>
            <w:rFonts w:ascii="Arial" w:hAnsi="Arial" w:cs="Arial"/>
            <w:noProof/>
            <w:webHidden/>
            <w:sz w:val="22"/>
            <w:szCs w:val="22"/>
          </w:rPr>
          <w:tab/>
        </w:r>
        <w:r w:rsidRPr="00AC6DD2">
          <w:rPr>
            <w:rFonts w:ascii="Arial" w:hAnsi="Arial" w:cs="Arial"/>
            <w:noProof/>
            <w:webHidden/>
            <w:sz w:val="22"/>
            <w:szCs w:val="22"/>
          </w:rPr>
          <w:fldChar w:fldCharType="begin"/>
        </w:r>
        <w:r w:rsidRPr="00AC6DD2">
          <w:rPr>
            <w:rFonts w:ascii="Arial" w:hAnsi="Arial" w:cs="Arial"/>
            <w:noProof/>
            <w:webHidden/>
            <w:sz w:val="22"/>
            <w:szCs w:val="22"/>
          </w:rPr>
          <w:instrText xml:space="preserve"> PAGEREF _Toc171781490 \h </w:instrText>
        </w:r>
        <w:r w:rsidRPr="00AC6DD2">
          <w:rPr>
            <w:rFonts w:ascii="Arial" w:hAnsi="Arial" w:cs="Arial"/>
            <w:noProof/>
            <w:webHidden/>
            <w:sz w:val="22"/>
            <w:szCs w:val="22"/>
          </w:rPr>
        </w:r>
        <w:r w:rsidRPr="00AC6DD2">
          <w:rPr>
            <w:rFonts w:ascii="Arial" w:hAnsi="Arial" w:cs="Arial"/>
            <w:noProof/>
            <w:webHidden/>
            <w:sz w:val="22"/>
            <w:szCs w:val="22"/>
          </w:rPr>
          <w:fldChar w:fldCharType="separate"/>
        </w:r>
        <w:r w:rsidRPr="00AC6DD2">
          <w:rPr>
            <w:rFonts w:ascii="Arial" w:hAnsi="Arial" w:cs="Arial"/>
            <w:noProof/>
            <w:webHidden/>
            <w:sz w:val="22"/>
            <w:szCs w:val="22"/>
          </w:rPr>
          <w:t>9</w:t>
        </w:r>
        <w:r w:rsidRPr="00AC6DD2">
          <w:rPr>
            <w:rFonts w:ascii="Arial" w:hAnsi="Arial" w:cs="Arial"/>
            <w:noProof/>
            <w:webHidden/>
            <w:sz w:val="22"/>
            <w:szCs w:val="22"/>
          </w:rPr>
          <w:fldChar w:fldCharType="end"/>
        </w:r>
      </w:hyperlink>
    </w:p>
    <w:p w14:paraId="7E054F06" w14:textId="28443DE5" w:rsidR="00AC6DD2" w:rsidRPr="00AC6DD2" w:rsidRDefault="00AC6DD2">
      <w:pPr>
        <w:pStyle w:val="TOC2"/>
        <w:rPr>
          <w:rFonts w:ascii="Arial" w:eastAsiaTheme="minorEastAsia" w:hAnsi="Arial" w:cs="Arial"/>
          <w:smallCaps w:val="0"/>
          <w:noProof/>
          <w:kern w:val="2"/>
          <w:sz w:val="22"/>
          <w:szCs w:val="22"/>
          <w14:ligatures w14:val="standardContextual"/>
        </w:rPr>
      </w:pPr>
      <w:hyperlink w:anchor="_Toc171781491" w:history="1">
        <w:r w:rsidRPr="00AC6DD2">
          <w:rPr>
            <w:rStyle w:val="Hyperlink"/>
            <w:rFonts w:ascii="Arial" w:hAnsi="Arial" w:cs="Arial"/>
            <w:noProof/>
            <w:sz w:val="22"/>
            <w:szCs w:val="22"/>
          </w:rPr>
          <w:t>2.3.3 Matching Funds Provided by Other Funding Agencies</w:t>
        </w:r>
        <w:r w:rsidRPr="00AC6DD2">
          <w:rPr>
            <w:rFonts w:ascii="Arial" w:hAnsi="Arial" w:cs="Arial"/>
            <w:noProof/>
            <w:webHidden/>
            <w:sz w:val="22"/>
            <w:szCs w:val="22"/>
          </w:rPr>
          <w:tab/>
        </w:r>
        <w:r w:rsidRPr="00AC6DD2">
          <w:rPr>
            <w:rFonts w:ascii="Arial" w:hAnsi="Arial" w:cs="Arial"/>
            <w:noProof/>
            <w:webHidden/>
            <w:sz w:val="22"/>
            <w:szCs w:val="22"/>
          </w:rPr>
          <w:fldChar w:fldCharType="begin"/>
        </w:r>
        <w:r w:rsidRPr="00AC6DD2">
          <w:rPr>
            <w:rFonts w:ascii="Arial" w:hAnsi="Arial" w:cs="Arial"/>
            <w:noProof/>
            <w:webHidden/>
            <w:sz w:val="22"/>
            <w:szCs w:val="22"/>
          </w:rPr>
          <w:instrText xml:space="preserve"> PAGEREF _Toc171781491 \h </w:instrText>
        </w:r>
        <w:r w:rsidRPr="00AC6DD2">
          <w:rPr>
            <w:rFonts w:ascii="Arial" w:hAnsi="Arial" w:cs="Arial"/>
            <w:noProof/>
            <w:webHidden/>
            <w:sz w:val="22"/>
            <w:szCs w:val="22"/>
          </w:rPr>
        </w:r>
        <w:r w:rsidRPr="00AC6DD2">
          <w:rPr>
            <w:rFonts w:ascii="Arial" w:hAnsi="Arial" w:cs="Arial"/>
            <w:noProof/>
            <w:webHidden/>
            <w:sz w:val="22"/>
            <w:szCs w:val="22"/>
          </w:rPr>
          <w:fldChar w:fldCharType="separate"/>
        </w:r>
        <w:r w:rsidRPr="00AC6DD2">
          <w:rPr>
            <w:rFonts w:ascii="Arial" w:hAnsi="Arial" w:cs="Arial"/>
            <w:noProof/>
            <w:webHidden/>
            <w:sz w:val="22"/>
            <w:szCs w:val="22"/>
          </w:rPr>
          <w:t>10</w:t>
        </w:r>
        <w:r w:rsidRPr="00AC6DD2">
          <w:rPr>
            <w:rFonts w:ascii="Arial" w:hAnsi="Arial" w:cs="Arial"/>
            <w:noProof/>
            <w:webHidden/>
            <w:sz w:val="22"/>
            <w:szCs w:val="22"/>
          </w:rPr>
          <w:fldChar w:fldCharType="end"/>
        </w:r>
      </w:hyperlink>
    </w:p>
    <w:p w14:paraId="2CB59E1B" w14:textId="7EB9D34C" w:rsidR="00AC6DD2" w:rsidRPr="00AC6DD2" w:rsidRDefault="00AC6DD2">
      <w:pPr>
        <w:pStyle w:val="TOC1"/>
        <w:tabs>
          <w:tab w:val="right" w:leader="dot" w:pos="9926"/>
        </w:tabs>
        <w:rPr>
          <w:rFonts w:ascii="Arial" w:eastAsiaTheme="minorEastAsia" w:hAnsi="Arial" w:cs="Arial"/>
          <w:b w:val="0"/>
          <w:bCs w:val="0"/>
          <w:caps w:val="0"/>
          <w:noProof/>
          <w:kern w:val="2"/>
          <w:sz w:val="22"/>
          <w:szCs w:val="22"/>
          <w14:ligatures w14:val="standardContextual"/>
        </w:rPr>
      </w:pPr>
      <w:hyperlink w:anchor="_Toc171781492" w:history="1">
        <w:r w:rsidRPr="00AC6DD2">
          <w:rPr>
            <w:rStyle w:val="Hyperlink"/>
            <w:rFonts w:ascii="Arial" w:hAnsi="Arial" w:cs="Arial"/>
            <w:noProof/>
            <w:sz w:val="22"/>
            <w:szCs w:val="22"/>
          </w:rPr>
          <w:t>2.4 Payment Request Procedures</w:t>
        </w:r>
        <w:r w:rsidRPr="00AC6DD2">
          <w:rPr>
            <w:rFonts w:ascii="Arial" w:hAnsi="Arial" w:cs="Arial"/>
            <w:noProof/>
            <w:webHidden/>
            <w:sz w:val="22"/>
            <w:szCs w:val="22"/>
          </w:rPr>
          <w:tab/>
        </w:r>
        <w:r w:rsidRPr="00AC6DD2">
          <w:rPr>
            <w:rFonts w:ascii="Arial" w:hAnsi="Arial" w:cs="Arial"/>
            <w:noProof/>
            <w:webHidden/>
            <w:sz w:val="22"/>
            <w:szCs w:val="22"/>
          </w:rPr>
          <w:fldChar w:fldCharType="begin"/>
        </w:r>
        <w:r w:rsidRPr="00AC6DD2">
          <w:rPr>
            <w:rFonts w:ascii="Arial" w:hAnsi="Arial" w:cs="Arial"/>
            <w:noProof/>
            <w:webHidden/>
            <w:sz w:val="22"/>
            <w:szCs w:val="22"/>
          </w:rPr>
          <w:instrText xml:space="preserve"> PAGEREF _Toc171781492 \h </w:instrText>
        </w:r>
        <w:r w:rsidRPr="00AC6DD2">
          <w:rPr>
            <w:rFonts w:ascii="Arial" w:hAnsi="Arial" w:cs="Arial"/>
            <w:noProof/>
            <w:webHidden/>
            <w:sz w:val="22"/>
            <w:szCs w:val="22"/>
          </w:rPr>
        </w:r>
        <w:r w:rsidRPr="00AC6DD2">
          <w:rPr>
            <w:rFonts w:ascii="Arial" w:hAnsi="Arial" w:cs="Arial"/>
            <w:noProof/>
            <w:webHidden/>
            <w:sz w:val="22"/>
            <w:szCs w:val="22"/>
          </w:rPr>
          <w:fldChar w:fldCharType="separate"/>
        </w:r>
        <w:r w:rsidRPr="00AC6DD2">
          <w:rPr>
            <w:rFonts w:ascii="Arial" w:hAnsi="Arial" w:cs="Arial"/>
            <w:noProof/>
            <w:webHidden/>
            <w:sz w:val="22"/>
            <w:szCs w:val="22"/>
          </w:rPr>
          <w:t>10</w:t>
        </w:r>
        <w:r w:rsidRPr="00AC6DD2">
          <w:rPr>
            <w:rFonts w:ascii="Arial" w:hAnsi="Arial" w:cs="Arial"/>
            <w:noProof/>
            <w:webHidden/>
            <w:sz w:val="22"/>
            <w:szCs w:val="22"/>
          </w:rPr>
          <w:fldChar w:fldCharType="end"/>
        </w:r>
      </w:hyperlink>
    </w:p>
    <w:p w14:paraId="4E7F2E46" w14:textId="4D2313AE" w:rsidR="00AC6DD2" w:rsidRPr="00AC6DD2" w:rsidRDefault="00AC6DD2">
      <w:pPr>
        <w:pStyle w:val="TOC2"/>
        <w:rPr>
          <w:rFonts w:ascii="Arial" w:eastAsiaTheme="minorEastAsia" w:hAnsi="Arial" w:cs="Arial"/>
          <w:smallCaps w:val="0"/>
          <w:noProof/>
          <w:kern w:val="2"/>
          <w:sz w:val="22"/>
          <w:szCs w:val="22"/>
          <w14:ligatures w14:val="standardContextual"/>
        </w:rPr>
      </w:pPr>
      <w:hyperlink w:anchor="_Toc171781493" w:history="1">
        <w:r w:rsidRPr="00AC6DD2">
          <w:rPr>
            <w:rStyle w:val="Hyperlink"/>
            <w:rFonts w:ascii="Arial" w:hAnsi="Arial" w:cs="Arial"/>
            <w:noProof/>
            <w:sz w:val="22"/>
            <w:szCs w:val="22"/>
          </w:rPr>
          <w:t>2.4.1 Minimum Payment Request Amounts and Disbursement</w:t>
        </w:r>
        <w:r w:rsidRPr="00AC6DD2">
          <w:rPr>
            <w:rFonts w:ascii="Arial" w:hAnsi="Arial" w:cs="Arial"/>
            <w:noProof/>
            <w:webHidden/>
            <w:sz w:val="22"/>
            <w:szCs w:val="22"/>
          </w:rPr>
          <w:tab/>
        </w:r>
        <w:r w:rsidRPr="00AC6DD2">
          <w:rPr>
            <w:rFonts w:ascii="Arial" w:hAnsi="Arial" w:cs="Arial"/>
            <w:noProof/>
            <w:webHidden/>
            <w:sz w:val="22"/>
            <w:szCs w:val="22"/>
          </w:rPr>
          <w:fldChar w:fldCharType="begin"/>
        </w:r>
        <w:r w:rsidRPr="00AC6DD2">
          <w:rPr>
            <w:rFonts w:ascii="Arial" w:hAnsi="Arial" w:cs="Arial"/>
            <w:noProof/>
            <w:webHidden/>
            <w:sz w:val="22"/>
            <w:szCs w:val="22"/>
          </w:rPr>
          <w:instrText xml:space="preserve"> PAGEREF _Toc171781493 \h </w:instrText>
        </w:r>
        <w:r w:rsidRPr="00AC6DD2">
          <w:rPr>
            <w:rFonts w:ascii="Arial" w:hAnsi="Arial" w:cs="Arial"/>
            <w:noProof/>
            <w:webHidden/>
            <w:sz w:val="22"/>
            <w:szCs w:val="22"/>
          </w:rPr>
        </w:r>
        <w:r w:rsidRPr="00AC6DD2">
          <w:rPr>
            <w:rFonts w:ascii="Arial" w:hAnsi="Arial" w:cs="Arial"/>
            <w:noProof/>
            <w:webHidden/>
            <w:sz w:val="22"/>
            <w:szCs w:val="22"/>
          </w:rPr>
          <w:fldChar w:fldCharType="separate"/>
        </w:r>
        <w:r w:rsidRPr="00AC6DD2">
          <w:rPr>
            <w:rFonts w:ascii="Arial" w:hAnsi="Arial" w:cs="Arial"/>
            <w:noProof/>
            <w:webHidden/>
            <w:sz w:val="22"/>
            <w:szCs w:val="22"/>
          </w:rPr>
          <w:t>11</w:t>
        </w:r>
        <w:r w:rsidRPr="00AC6DD2">
          <w:rPr>
            <w:rFonts w:ascii="Arial" w:hAnsi="Arial" w:cs="Arial"/>
            <w:noProof/>
            <w:webHidden/>
            <w:sz w:val="22"/>
            <w:szCs w:val="22"/>
          </w:rPr>
          <w:fldChar w:fldCharType="end"/>
        </w:r>
      </w:hyperlink>
    </w:p>
    <w:p w14:paraId="001F23AD" w14:textId="21AC8F2C" w:rsidR="00AC6DD2" w:rsidRPr="00AC6DD2" w:rsidRDefault="00AC6DD2">
      <w:pPr>
        <w:pStyle w:val="TOC2"/>
        <w:rPr>
          <w:rFonts w:ascii="Arial" w:eastAsiaTheme="minorEastAsia" w:hAnsi="Arial" w:cs="Arial"/>
          <w:smallCaps w:val="0"/>
          <w:noProof/>
          <w:kern w:val="2"/>
          <w:sz w:val="22"/>
          <w:szCs w:val="22"/>
          <w14:ligatures w14:val="standardContextual"/>
        </w:rPr>
      </w:pPr>
      <w:hyperlink w:anchor="_Toc171781494" w:history="1">
        <w:r w:rsidRPr="00AC6DD2">
          <w:rPr>
            <w:rStyle w:val="Hyperlink"/>
            <w:rFonts w:ascii="Arial" w:hAnsi="Arial" w:cs="Arial"/>
            <w:noProof/>
            <w:sz w:val="22"/>
            <w:szCs w:val="22"/>
          </w:rPr>
          <w:t>2.4.2 Delays, Ineligible Costs, and Denial of Payment</w:t>
        </w:r>
        <w:r w:rsidRPr="00AC6DD2">
          <w:rPr>
            <w:rFonts w:ascii="Arial" w:hAnsi="Arial" w:cs="Arial"/>
            <w:noProof/>
            <w:webHidden/>
            <w:sz w:val="22"/>
            <w:szCs w:val="22"/>
          </w:rPr>
          <w:tab/>
        </w:r>
        <w:r w:rsidRPr="00AC6DD2">
          <w:rPr>
            <w:rFonts w:ascii="Arial" w:hAnsi="Arial" w:cs="Arial"/>
            <w:noProof/>
            <w:webHidden/>
            <w:sz w:val="22"/>
            <w:szCs w:val="22"/>
          </w:rPr>
          <w:fldChar w:fldCharType="begin"/>
        </w:r>
        <w:r w:rsidRPr="00AC6DD2">
          <w:rPr>
            <w:rFonts w:ascii="Arial" w:hAnsi="Arial" w:cs="Arial"/>
            <w:noProof/>
            <w:webHidden/>
            <w:sz w:val="22"/>
            <w:szCs w:val="22"/>
          </w:rPr>
          <w:instrText xml:space="preserve"> PAGEREF _Toc171781494 \h </w:instrText>
        </w:r>
        <w:r w:rsidRPr="00AC6DD2">
          <w:rPr>
            <w:rFonts w:ascii="Arial" w:hAnsi="Arial" w:cs="Arial"/>
            <w:noProof/>
            <w:webHidden/>
            <w:sz w:val="22"/>
            <w:szCs w:val="22"/>
          </w:rPr>
        </w:r>
        <w:r w:rsidRPr="00AC6DD2">
          <w:rPr>
            <w:rFonts w:ascii="Arial" w:hAnsi="Arial" w:cs="Arial"/>
            <w:noProof/>
            <w:webHidden/>
            <w:sz w:val="22"/>
            <w:szCs w:val="22"/>
          </w:rPr>
          <w:fldChar w:fldCharType="separate"/>
        </w:r>
        <w:r w:rsidRPr="00AC6DD2">
          <w:rPr>
            <w:rFonts w:ascii="Arial" w:hAnsi="Arial" w:cs="Arial"/>
            <w:noProof/>
            <w:webHidden/>
            <w:sz w:val="22"/>
            <w:szCs w:val="22"/>
          </w:rPr>
          <w:t>11</w:t>
        </w:r>
        <w:r w:rsidRPr="00AC6DD2">
          <w:rPr>
            <w:rFonts w:ascii="Arial" w:hAnsi="Arial" w:cs="Arial"/>
            <w:noProof/>
            <w:webHidden/>
            <w:sz w:val="22"/>
            <w:szCs w:val="22"/>
          </w:rPr>
          <w:fldChar w:fldCharType="end"/>
        </w:r>
      </w:hyperlink>
    </w:p>
    <w:p w14:paraId="45A85B12" w14:textId="620DC006" w:rsidR="00AC6DD2" w:rsidRPr="00AC6DD2" w:rsidRDefault="00AC6DD2">
      <w:pPr>
        <w:pStyle w:val="TOC2"/>
        <w:rPr>
          <w:rFonts w:ascii="Arial" w:eastAsiaTheme="minorEastAsia" w:hAnsi="Arial" w:cs="Arial"/>
          <w:smallCaps w:val="0"/>
          <w:noProof/>
          <w:kern w:val="2"/>
          <w:sz w:val="22"/>
          <w:szCs w:val="22"/>
          <w14:ligatures w14:val="standardContextual"/>
        </w:rPr>
      </w:pPr>
      <w:hyperlink w:anchor="_Toc171781495" w:history="1">
        <w:r w:rsidRPr="00AC6DD2">
          <w:rPr>
            <w:rStyle w:val="Hyperlink"/>
            <w:rFonts w:ascii="Arial" w:hAnsi="Arial" w:cs="Arial"/>
            <w:noProof/>
            <w:sz w:val="22"/>
            <w:szCs w:val="22"/>
          </w:rPr>
          <w:t>2.4.4 Payment Revisions</w:t>
        </w:r>
        <w:r w:rsidRPr="00AC6DD2">
          <w:rPr>
            <w:rFonts w:ascii="Arial" w:hAnsi="Arial" w:cs="Arial"/>
            <w:noProof/>
            <w:webHidden/>
            <w:sz w:val="22"/>
            <w:szCs w:val="22"/>
          </w:rPr>
          <w:tab/>
        </w:r>
        <w:r w:rsidRPr="00AC6DD2">
          <w:rPr>
            <w:rFonts w:ascii="Arial" w:hAnsi="Arial" w:cs="Arial"/>
            <w:noProof/>
            <w:webHidden/>
            <w:sz w:val="22"/>
            <w:szCs w:val="22"/>
          </w:rPr>
          <w:fldChar w:fldCharType="begin"/>
        </w:r>
        <w:r w:rsidRPr="00AC6DD2">
          <w:rPr>
            <w:rFonts w:ascii="Arial" w:hAnsi="Arial" w:cs="Arial"/>
            <w:noProof/>
            <w:webHidden/>
            <w:sz w:val="22"/>
            <w:szCs w:val="22"/>
          </w:rPr>
          <w:instrText xml:space="preserve"> PAGEREF _Toc171781495 \h </w:instrText>
        </w:r>
        <w:r w:rsidRPr="00AC6DD2">
          <w:rPr>
            <w:rFonts w:ascii="Arial" w:hAnsi="Arial" w:cs="Arial"/>
            <w:noProof/>
            <w:webHidden/>
            <w:sz w:val="22"/>
            <w:szCs w:val="22"/>
          </w:rPr>
        </w:r>
        <w:r w:rsidRPr="00AC6DD2">
          <w:rPr>
            <w:rFonts w:ascii="Arial" w:hAnsi="Arial" w:cs="Arial"/>
            <w:noProof/>
            <w:webHidden/>
            <w:sz w:val="22"/>
            <w:szCs w:val="22"/>
          </w:rPr>
          <w:fldChar w:fldCharType="separate"/>
        </w:r>
        <w:r w:rsidRPr="00AC6DD2">
          <w:rPr>
            <w:rFonts w:ascii="Arial" w:hAnsi="Arial" w:cs="Arial"/>
            <w:noProof/>
            <w:webHidden/>
            <w:sz w:val="22"/>
            <w:szCs w:val="22"/>
          </w:rPr>
          <w:t>13</w:t>
        </w:r>
        <w:r w:rsidRPr="00AC6DD2">
          <w:rPr>
            <w:rFonts w:ascii="Arial" w:hAnsi="Arial" w:cs="Arial"/>
            <w:noProof/>
            <w:webHidden/>
            <w:sz w:val="22"/>
            <w:szCs w:val="22"/>
          </w:rPr>
          <w:fldChar w:fldCharType="end"/>
        </w:r>
      </w:hyperlink>
    </w:p>
    <w:p w14:paraId="66BA965B" w14:textId="45AE88B4" w:rsidR="00AC6DD2" w:rsidRPr="00AC6DD2" w:rsidRDefault="00AC6DD2">
      <w:pPr>
        <w:pStyle w:val="TOC1"/>
        <w:tabs>
          <w:tab w:val="right" w:leader="dot" w:pos="9926"/>
        </w:tabs>
        <w:rPr>
          <w:rFonts w:ascii="Arial" w:eastAsiaTheme="minorEastAsia" w:hAnsi="Arial" w:cs="Arial"/>
          <w:b w:val="0"/>
          <w:bCs w:val="0"/>
          <w:caps w:val="0"/>
          <w:noProof/>
          <w:kern w:val="2"/>
          <w:sz w:val="22"/>
          <w:szCs w:val="22"/>
          <w14:ligatures w14:val="standardContextual"/>
        </w:rPr>
      </w:pPr>
      <w:hyperlink w:anchor="_Toc171781496" w:history="1">
        <w:r w:rsidRPr="00AC6DD2">
          <w:rPr>
            <w:rStyle w:val="Hyperlink"/>
            <w:rFonts w:ascii="Arial" w:hAnsi="Arial" w:cs="Arial"/>
            <w:noProof/>
            <w:sz w:val="22"/>
            <w:szCs w:val="22"/>
          </w:rPr>
          <w:t>2.5 Program Income</w:t>
        </w:r>
        <w:r w:rsidRPr="00AC6DD2">
          <w:rPr>
            <w:rFonts w:ascii="Arial" w:hAnsi="Arial" w:cs="Arial"/>
            <w:noProof/>
            <w:webHidden/>
            <w:sz w:val="22"/>
            <w:szCs w:val="22"/>
          </w:rPr>
          <w:tab/>
        </w:r>
        <w:r w:rsidRPr="00AC6DD2">
          <w:rPr>
            <w:rFonts w:ascii="Arial" w:hAnsi="Arial" w:cs="Arial"/>
            <w:noProof/>
            <w:webHidden/>
            <w:sz w:val="22"/>
            <w:szCs w:val="22"/>
          </w:rPr>
          <w:fldChar w:fldCharType="begin"/>
        </w:r>
        <w:r w:rsidRPr="00AC6DD2">
          <w:rPr>
            <w:rFonts w:ascii="Arial" w:hAnsi="Arial" w:cs="Arial"/>
            <w:noProof/>
            <w:webHidden/>
            <w:sz w:val="22"/>
            <w:szCs w:val="22"/>
          </w:rPr>
          <w:instrText xml:space="preserve"> PAGEREF _Toc171781496 \h </w:instrText>
        </w:r>
        <w:r w:rsidRPr="00AC6DD2">
          <w:rPr>
            <w:rFonts w:ascii="Arial" w:hAnsi="Arial" w:cs="Arial"/>
            <w:noProof/>
            <w:webHidden/>
            <w:sz w:val="22"/>
            <w:szCs w:val="22"/>
          </w:rPr>
        </w:r>
        <w:r w:rsidRPr="00AC6DD2">
          <w:rPr>
            <w:rFonts w:ascii="Arial" w:hAnsi="Arial" w:cs="Arial"/>
            <w:noProof/>
            <w:webHidden/>
            <w:sz w:val="22"/>
            <w:szCs w:val="22"/>
          </w:rPr>
          <w:fldChar w:fldCharType="separate"/>
        </w:r>
        <w:r w:rsidRPr="00AC6DD2">
          <w:rPr>
            <w:rFonts w:ascii="Arial" w:hAnsi="Arial" w:cs="Arial"/>
            <w:noProof/>
            <w:webHidden/>
            <w:sz w:val="22"/>
            <w:szCs w:val="22"/>
          </w:rPr>
          <w:t>13</w:t>
        </w:r>
        <w:r w:rsidRPr="00AC6DD2">
          <w:rPr>
            <w:rFonts w:ascii="Arial" w:hAnsi="Arial" w:cs="Arial"/>
            <w:noProof/>
            <w:webHidden/>
            <w:sz w:val="22"/>
            <w:szCs w:val="22"/>
          </w:rPr>
          <w:fldChar w:fldCharType="end"/>
        </w:r>
      </w:hyperlink>
    </w:p>
    <w:p w14:paraId="1F2720F7" w14:textId="12120A9B" w:rsidR="00AC6DD2" w:rsidRPr="00AC6DD2" w:rsidRDefault="00AC6DD2">
      <w:pPr>
        <w:pStyle w:val="TOC1"/>
        <w:tabs>
          <w:tab w:val="right" w:leader="dot" w:pos="9926"/>
        </w:tabs>
        <w:rPr>
          <w:rFonts w:ascii="Arial" w:eastAsiaTheme="minorEastAsia" w:hAnsi="Arial" w:cs="Arial"/>
          <w:b w:val="0"/>
          <w:bCs w:val="0"/>
          <w:caps w:val="0"/>
          <w:noProof/>
          <w:kern w:val="2"/>
          <w:sz w:val="22"/>
          <w:szCs w:val="22"/>
          <w14:ligatures w14:val="standardContextual"/>
        </w:rPr>
      </w:pPr>
      <w:hyperlink w:anchor="_Toc171781497" w:history="1">
        <w:r w:rsidRPr="00AC6DD2">
          <w:rPr>
            <w:rStyle w:val="Hyperlink"/>
            <w:rFonts w:ascii="Arial" w:hAnsi="Arial" w:cs="Arial"/>
            <w:noProof/>
            <w:sz w:val="22"/>
            <w:szCs w:val="22"/>
          </w:rPr>
          <w:t>2.6 Investigation of Fraud Allegations</w:t>
        </w:r>
        <w:r w:rsidRPr="00AC6DD2">
          <w:rPr>
            <w:rFonts w:ascii="Arial" w:hAnsi="Arial" w:cs="Arial"/>
            <w:noProof/>
            <w:webHidden/>
            <w:sz w:val="22"/>
            <w:szCs w:val="22"/>
          </w:rPr>
          <w:tab/>
        </w:r>
        <w:r w:rsidRPr="00AC6DD2">
          <w:rPr>
            <w:rFonts w:ascii="Arial" w:hAnsi="Arial" w:cs="Arial"/>
            <w:noProof/>
            <w:webHidden/>
            <w:sz w:val="22"/>
            <w:szCs w:val="22"/>
          </w:rPr>
          <w:fldChar w:fldCharType="begin"/>
        </w:r>
        <w:r w:rsidRPr="00AC6DD2">
          <w:rPr>
            <w:rFonts w:ascii="Arial" w:hAnsi="Arial" w:cs="Arial"/>
            <w:noProof/>
            <w:webHidden/>
            <w:sz w:val="22"/>
            <w:szCs w:val="22"/>
          </w:rPr>
          <w:instrText xml:space="preserve"> PAGEREF _Toc171781497 \h </w:instrText>
        </w:r>
        <w:r w:rsidRPr="00AC6DD2">
          <w:rPr>
            <w:rFonts w:ascii="Arial" w:hAnsi="Arial" w:cs="Arial"/>
            <w:noProof/>
            <w:webHidden/>
            <w:sz w:val="22"/>
            <w:szCs w:val="22"/>
          </w:rPr>
        </w:r>
        <w:r w:rsidRPr="00AC6DD2">
          <w:rPr>
            <w:rFonts w:ascii="Arial" w:hAnsi="Arial" w:cs="Arial"/>
            <w:noProof/>
            <w:webHidden/>
            <w:sz w:val="22"/>
            <w:szCs w:val="22"/>
          </w:rPr>
          <w:fldChar w:fldCharType="separate"/>
        </w:r>
        <w:r w:rsidRPr="00AC6DD2">
          <w:rPr>
            <w:rFonts w:ascii="Arial" w:hAnsi="Arial" w:cs="Arial"/>
            <w:noProof/>
            <w:webHidden/>
            <w:sz w:val="22"/>
            <w:szCs w:val="22"/>
          </w:rPr>
          <w:t>13</w:t>
        </w:r>
        <w:r w:rsidRPr="00AC6DD2">
          <w:rPr>
            <w:rFonts w:ascii="Arial" w:hAnsi="Arial" w:cs="Arial"/>
            <w:noProof/>
            <w:webHidden/>
            <w:sz w:val="22"/>
            <w:szCs w:val="22"/>
          </w:rPr>
          <w:fldChar w:fldCharType="end"/>
        </w:r>
      </w:hyperlink>
    </w:p>
    <w:p w14:paraId="3B285988" w14:textId="3FA4A4AC" w:rsidR="00AC6DD2" w:rsidRPr="00AC6DD2" w:rsidRDefault="00AC6DD2">
      <w:pPr>
        <w:pStyle w:val="TOC1"/>
        <w:tabs>
          <w:tab w:val="right" w:leader="dot" w:pos="9926"/>
        </w:tabs>
        <w:rPr>
          <w:rFonts w:ascii="Arial" w:eastAsiaTheme="minorEastAsia" w:hAnsi="Arial" w:cs="Arial"/>
          <w:b w:val="0"/>
          <w:bCs w:val="0"/>
          <w:caps w:val="0"/>
          <w:noProof/>
          <w:kern w:val="2"/>
          <w:sz w:val="22"/>
          <w:szCs w:val="22"/>
          <w14:ligatures w14:val="standardContextual"/>
        </w:rPr>
      </w:pPr>
      <w:hyperlink w:anchor="_Toc171781498" w:history="1">
        <w:r w:rsidRPr="00AC6DD2">
          <w:rPr>
            <w:rStyle w:val="Hyperlink"/>
            <w:rFonts w:ascii="Arial" w:hAnsi="Arial" w:cs="Arial"/>
            <w:noProof/>
            <w:sz w:val="22"/>
            <w:szCs w:val="22"/>
          </w:rPr>
          <w:t>Resources</w:t>
        </w:r>
        <w:r w:rsidRPr="00AC6DD2">
          <w:rPr>
            <w:rFonts w:ascii="Arial" w:hAnsi="Arial" w:cs="Arial"/>
            <w:noProof/>
            <w:webHidden/>
            <w:sz w:val="22"/>
            <w:szCs w:val="22"/>
          </w:rPr>
          <w:tab/>
        </w:r>
        <w:r w:rsidRPr="00AC6DD2">
          <w:rPr>
            <w:rFonts w:ascii="Arial" w:hAnsi="Arial" w:cs="Arial"/>
            <w:noProof/>
            <w:webHidden/>
            <w:sz w:val="22"/>
            <w:szCs w:val="22"/>
          </w:rPr>
          <w:fldChar w:fldCharType="begin"/>
        </w:r>
        <w:r w:rsidRPr="00AC6DD2">
          <w:rPr>
            <w:rFonts w:ascii="Arial" w:hAnsi="Arial" w:cs="Arial"/>
            <w:noProof/>
            <w:webHidden/>
            <w:sz w:val="22"/>
            <w:szCs w:val="22"/>
          </w:rPr>
          <w:instrText xml:space="preserve"> PAGEREF _Toc171781498 \h </w:instrText>
        </w:r>
        <w:r w:rsidRPr="00AC6DD2">
          <w:rPr>
            <w:rFonts w:ascii="Arial" w:hAnsi="Arial" w:cs="Arial"/>
            <w:noProof/>
            <w:webHidden/>
            <w:sz w:val="22"/>
            <w:szCs w:val="22"/>
          </w:rPr>
        </w:r>
        <w:r w:rsidRPr="00AC6DD2">
          <w:rPr>
            <w:rFonts w:ascii="Arial" w:hAnsi="Arial" w:cs="Arial"/>
            <w:noProof/>
            <w:webHidden/>
            <w:sz w:val="22"/>
            <w:szCs w:val="22"/>
          </w:rPr>
          <w:fldChar w:fldCharType="separate"/>
        </w:r>
        <w:r w:rsidRPr="00AC6DD2">
          <w:rPr>
            <w:rFonts w:ascii="Arial" w:hAnsi="Arial" w:cs="Arial"/>
            <w:noProof/>
            <w:webHidden/>
            <w:sz w:val="22"/>
            <w:szCs w:val="22"/>
          </w:rPr>
          <w:t>14</w:t>
        </w:r>
        <w:r w:rsidRPr="00AC6DD2">
          <w:rPr>
            <w:rFonts w:ascii="Arial" w:hAnsi="Arial" w:cs="Arial"/>
            <w:noProof/>
            <w:webHidden/>
            <w:sz w:val="22"/>
            <w:szCs w:val="22"/>
          </w:rPr>
          <w:fldChar w:fldCharType="end"/>
        </w:r>
      </w:hyperlink>
    </w:p>
    <w:p w14:paraId="3308BEAE" w14:textId="24870A6E" w:rsidR="00657A7A" w:rsidRDefault="00657A7A" w:rsidP="00E54478">
      <w:pPr>
        <w:spacing w:after="240"/>
        <w:rPr>
          <w:rFonts w:cs="Arial"/>
        </w:rPr>
      </w:pPr>
      <w:r w:rsidRPr="00AC6DD2">
        <w:rPr>
          <w:rFonts w:cs="Arial"/>
          <w:szCs w:val="22"/>
        </w:rPr>
        <w:fldChar w:fldCharType="end"/>
      </w:r>
    </w:p>
    <w:p w14:paraId="5AC632D0" w14:textId="00C224C1" w:rsidR="0033046D" w:rsidRPr="00260E6C" w:rsidRDefault="00645446" w:rsidP="00E54478">
      <w:pPr>
        <w:spacing w:after="240"/>
        <w:rPr>
          <w:rFonts w:cs="Arial"/>
        </w:rPr>
      </w:pPr>
      <w:r w:rsidRPr="00260E6C">
        <w:rPr>
          <w:rFonts w:cs="Arial"/>
        </w:rPr>
        <w:br w:type="page"/>
      </w:r>
    </w:p>
    <w:p w14:paraId="00983B52" w14:textId="77777777" w:rsidR="00076E3E" w:rsidRPr="002401B7" w:rsidRDefault="00076E3E" w:rsidP="00E54478">
      <w:pPr>
        <w:jc w:val="center"/>
        <w:rPr>
          <w:bCs/>
          <w:sz w:val="48"/>
          <w:szCs w:val="48"/>
        </w:rPr>
      </w:pPr>
      <w:r w:rsidRPr="002401B7">
        <w:rPr>
          <w:b/>
          <w:bCs/>
          <w:sz w:val="48"/>
          <w:szCs w:val="48"/>
        </w:rPr>
        <w:lastRenderedPageBreak/>
        <w:t>CHAPTER 2</w:t>
      </w:r>
    </w:p>
    <w:p w14:paraId="6B285F86" w14:textId="77777777" w:rsidR="00076E3E" w:rsidRPr="002401B7" w:rsidRDefault="00076E3E" w:rsidP="00E54478">
      <w:pPr>
        <w:jc w:val="center"/>
        <w:rPr>
          <w:rFonts w:cs="Arial"/>
          <w:b/>
          <w:sz w:val="48"/>
          <w:szCs w:val="48"/>
        </w:rPr>
      </w:pPr>
      <w:r w:rsidRPr="002401B7">
        <w:rPr>
          <w:rFonts w:cs="Arial"/>
          <w:b/>
          <w:sz w:val="48"/>
          <w:szCs w:val="48"/>
        </w:rPr>
        <w:t>FINANCIAL MANAGEMENT</w:t>
      </w:r>
    </w:p>
    <w:p w14:paraId="06E5945E" w14:textId="0786F78D" w:rsidR="00076E3E" w:rsidRDefault="00076E3E" w:rsidP="00E54478"/>
    <w:p w14:paraId="3FA5E28B" w14:textId="77777777" w:rsidR="00CC35E6" w:rsidRPr="00260E6C" w:rsidRDefault="00E40731" w:rsidP="00E54478">
      <w:pPr>
        <w:pStyle w:val="Heading1"/>
      </w:pPr>
      <w:bookmarkStart w:id="5" w:name="_Toc46134381"/>
      <w:bookmarkStart w:id="6" w:name="_Toc123110520"/>
      <w:bookmarkStart w:id="7" w:name="_Toc123198149"/>
      <w:bookmarkStart w:id="8" w:name="_Toc123198384"/>
      <w:bookmarkStart w:id="9" w:name="_Toc171781480"/>
      <w:r w:rsidRPr="00260E6C">
        <w:t xml:space="preserve">2.0 </w:t>
      </w:r>
      <w:r w:rsidR="00CC35E6" w:rsidRPr="003F395E">
        <w:rPr>
          <w:rFonts w:cs="Arial"/>
          <w:szCs w:val="40"/>
        </w:rPr>
        <w:t>Introduction</w:t>
      </w:r>
      <w:bookmarkEnd w:id="0"/>
      <w:bookmarkEnd w:id="1"/>
      <w:bookmarkEnd w:id="2"/>
      <w:bookmarkEnd w:id="3"/>
      <w:bookmarkEnd w:id="4"/>
      <w:bookmarkEnd w:id="5"/>
      <w:bookmarkEnd w:id="6"/>
      <w:bookmarkEnd w:id="7"/>
      <w:bookmarkEnd w:id="8"/>
      <w:bookmarkEnd w:id="9"/>
    </w:p>
    <w:p w14:paraId="59F0BCA5" w14:textId="77777777" w:rsidR="00E40731" w:rsidRPr="00B30AFA" w:rsidRDefault="00E40731" w:rsidP="00E54478">
      <w:bookmarkStart w:id="10" w:name="_Toc7269266"/>
      <w:bookmarkStart w:id="11" w:name="_Toc38100391"/>
    </w:p>
    <w:p w14:paraId="410E271B" w14:textId="61A77825" w:rsidR="002F4778" w:rsidRPr="00FB3871" w:rsidRDefault="001A2FBF" w:rsidP="00E54478">
      <w:r w:rsidRPr="00FB3871">
        <w:t>The</w:t>
      </w:r>
      <w:r w:rsidR="00405DCD" w:rsidRPr="00FB3871">
        <w:t xml:space="preserve"> </w:t>
      </w:r>
      <w:r w:rsidR="00A778B9" w:rsidRPr="00FB3871">
        <w:t>Grant Recipient</w:t>
      </w:r>
      <w:r w:rsidR="00405DCD" w:rsidRPr="00FB3871">
        <w:t xml:space="preserve"> </w:t>
      </w:r>
      <w:r w:rsidRPr="00FB3871">
        <w:t xml:space="preserve">must </w:t>
      </w:r>
      <w:r w:rsidR="00405DCD" w:rsidRPr="00FB3871">
        <w:t xml:space="preserve">review the financial requirements of the </w:t>
      </w:r>
      <w:r w:rsidR="00E22EB6" w:rsidRPr="00295283">
        <w:t xml:space="preserve">agreement </w:t>
      </w:r>
      <w:r w:rsidR="00405DCD" w:rsidRPr="00FB3871">
        <w:t>and set up a financial accounting</w:t>
      </w:r>
      <w:r w:rsidR="00E95E7C" w:rsidRPr="00FB3871">
        <w:t xml:space="preserve"> </w:t>
      </w:r>
      <w:r w:rsidR="00405DCD" w:rsidRPr="00FB3871">
        <w:t xml:space="preserve">system consistent with the requirements of the </w:t>
      </w:r>
      <w:r w:rsidR="00A208D6" w:rsidRPr="00FB3871">
        <w:t>TxCDBG</w:t>
      </w:r>
      <w:r w:rsidR="00405DCD" w:rsidRPr="00FB3871">
        <w:t xml:space="preserve"> </w:t>
      </w:r>
      <w:r w:rsidR="003F395E" w:rsidRPr="00FB3871">
        <w:t>p</w:t>
      </w:r>
      <w:r w:rsidR="00405DCD" w:rsidRPr="00FB3871">
        <w:t>rogram</w:t>
      </w:r>
      <w:r w:rsidR="003F395E" w:rsidRPr="00FB3871">
        <w:t>.</w:t>
      </w:r>
      <w:r w:rsidR="00295283">
        <w:t xml:space="preserve"> </w:t>
      </w:r>
      <w:r w:rsidR="00490605" w:rsidRPr="00FB3871">
        <w:t xml:space="preserve">The financial requirements for local governments receiving TxCDBG </w:t>
      </w:r>
      <w:r w:rsidR="003F395E" w:rsidRPr="00FB3871">
        <w:t xml:space="preserve">funds </w:t>
      </w:r>
      <w:r w:rsidR="00490605" w:rsidRPr="00FB3871">
        <w:t xml:space="preserve">are governed by regulations issued by </w:t>
      </w:r>
      <w:r w:rsidR="00213FC8" w:rsidRPr="00FB3871">
        <w:t>the United States Department of Housing and Urban Development (HUD)</w:t>
      </w:r>
      <w:r w:rsidR="00275989" w:rsidRPr="00FB3871">
        <w:t>, the Federal Office of Management and Budget (OMB),</w:t>
      </w:r>
      <w:r w:rsidR="006B1456">
        <w:t xml:space="preserve"> and</w:t>
      </w:r>
      <w:r w:rsidR="00275989" w:rsidRPr="00FB3871">
        <w:t xml:space="preserve"> </w:t>
      </w:r>
      <w:r w:rsidR="001E6BC7" w:rsidRPr="00FB3871">
        <w:t>f</w:t>
      </w:r>
      <w:r w:rsidR="00275989" w:rsidRPr="00FB3871">
        <w:t xml:space="preserve">ederal, </w:t>
      </w:r>
      <w:r w:rsidR="001E6BC7" w:rsidRPr="00FB3871">
        <w:t>s</w:t>
      </w:r>
      <w:r w:rsidR="00275989" w:rsidRPr="00FB3871">
        <w:t xml:space="preserve">tate, and </w:t>
      </w:r>
      <w:r w:rsidR="001523D0" w:rsidRPr="00FB3871">
        <w:t>local policy.</w:t>
      </w:r>
      <w:r w:rsidR="003F395E" w:rsidRPr="00FB3871">
        <w:t xml:space="preserve"> </w:t>
      </w:r>
    </w:p>
    <w:p w14:paraId="14A4111F" w14:textId="77777777" w:rsidR="002F4778" w:rsidRPr="00FB3871" w:rsidRDefault="002F4778" w:rsidP="00E54478"/>
    <w:p w14:paraId="38C1B7B6" w14:textId="2BD85E05" w:rsidR="004A4043" w:rsidRPr="00FB3871" w:rsidRDefault="000C2C94" w:rsidP="00E54478">
      <w:r>
        <w:t>The</w:t>
      </w:r>
      <w:r w:rsidR="00BE1367" w:rsidRPr="00FB3871">
        <w:t xml:space="preserve"> TxCDBG </w:t>
      </w:r>
      <w:r w:rsidR="001E6BC7" w:rsidRPr="00FB3871">
        <w:t>p</w:t>
      </w:r>
      <w:r w:rsidR="00BE1367" w:rsidRPr="00FB3871">
        <w:t>rogram is responsible for monitoring the Grant Recipient’s compliance with applicable financial management standards, processin</w:t>
      </w:r>
      <w:r w:rsidR="009C6053" w:rsidRPr="00FB3871">
        <w:t>g payment requests in TDA</w:t>
      </w:r>
      <w:r w:rsidR="00444A9C">
        <w:t>-</w:t>
      </w:r>
      <w:r w:rsidR="009C6053" w:rsidRPr="00FB3871">
        <w:t xml:space="preserve">GO </w:t>
      </w:r>
      <w:r w:rsidR="00BE1367" w:rsidRPr="00FB3871">
        <w:t xml:space="preserve">for </w:t>
      </w:r>
      <w:r w:rsidR="00E85E7F" w:rsidRPr="00FB3871">
        <w:t>Tx</w:t>
      </w:r>
      <w:r w:rsidR="00BE1367" w:rsidRPr="00FB3871">
        <w:t>CDBG funds, and for audit review.</w:t>
      </w:r>
      <w:r w:rsidR="00213FC8" w:rsidRPr="00FB3871">
        <w:t xml:space="preserve"> F</w:t>
      </w:r>
      <w:r w:rsidR="00BE1367" w:rsidRPr="00FB3871">
        <w:t>ederal regulations governing financial management</w:t>
      </w:r>
      <w:r w:rsidR="00213FC8" w:rsidRPr="00FB3871">
        <w:t xml:space="preserve"> include </w:t>
      </w:r>
      <w:r w:rsidR="00BE1367" w:rsidRPr="00FB3871">
        <w:t>24 CFR Part 570</w:t>
      </w:r>
      <w:r w:rsidR="006B1456">
        <w:t>,</w:t>
      </w:r>
      <w:r w:rsidR="00BE1367" w:rsidRPr="00FB3871">
        <w:t xml:space="preserve"> Subpart I</w:t>
      </w:r>
      <w:r w:rsidR="00213FC8" w:rsidRPr="00FB3871">
        <w:t xml:space="preserve">, which </w:t>
      </w:r>
      <w:r w:rsidR="00BE1367" w:rsidRPr="00FB3871">
        <w:t xml:space="preserve">governs the </w:t>
      </w:r>
      <w:r w:rsidR="00AF7832" w:rsidRPr="00FB3871">
        <w:t>s</w:t>
      </w:r>
      <w:r w:rsidR="00BE1367" w:rsidRPr="00FB3871">
        <w:t xml:space="preserve">tate </w:t>
      </w:r>
      <w:r w:rsidR="00E85E7F" w:rsidRPr="00FB3871">
        <w:t>Tx</w:t>
      </w:r>
      <w:r w:rsidR="00BE1367" w:rsidRPr="00FB3871">
        <w:t>CDBG program</w:t>
      </w:r>
      <w:r w:rsidR="006B1456">
        <w:t>;</w:t>
      </w:r>
      <w:r w:rsidR="00213FC8" w:rsidRPr="00FB3871">
        <w:t xml:space="preserve"> </w:t>
      </w:r>
      <w:r w:rsidR="00BE1367" w:rsidRPr="00FB3871">
        <w:t>Section 570.</w:t>
      </w:r>
      <w:r w:rsidR="0073751D" w:rsidRPr="00FB3871">
        <w:t>4</w:t>
      </w:r>
      <w:r w:rsidR="00BE1367" w:rsidRPr="00FB3871">
        <w:t xml:space="preserve">89 </w:t>
      </w:r>
      <w:r w:rsidR="00213FC8" w:rsidRPr="00FB3871">
        <w:t xml:space="preserve">which </w:t>
      </w:r>
      <w:r w:rsidR="00BE1367" w:rsidRPr="00FB3871">
        <w:t>details program administration requirements</w:t>
      </w:r>
      <w:r w:rsidR="006B1456">
        <w:t>;</w:t>
      </w:r>
      <w:r w:rsidR="00213FC8" w:rsidRPr="00FB3871">
        <w:t xml:space="preserve"> an</w:t>
      </w:r>
      <w:r w:rsidR="009C6053" w:rsidRPr="00FB3871">
        <w:t xml:space="preserve">d select parts </w:t>
      </w:r>
      <w:r w:rsidR="00213FC8" w:rsidRPr="00FB3871">
        <w:t>of S</w:t>
      </w:r>
      <w:r w:rsidR="00BE1367" w:rsidRPr="00FB3871">
        <w:t xml:space="preserve">ection 2 CFR </w:t>
      </w:r>
      <w:r w:rsidR="0046411C">
        <w:t xml:space="preserve">Part </w:t>
      </w:r>
      <w:r w:rsidR="00BE1367" w:rsidRPr="00FB3871">
        <w:t>20</w:t>
      </w:r>
      <w:r w:rsidR="00213FC8" w:rsidRPr="00FB3871">
        <w:t>0—</w:t>
      </w:r>
      <w:r w:rsidR="002F2753" w:rsidRPr="00FB3871">
        <w:t>including</w:t>
      </w:r>
      <w:r w:rsidR="000E1BD3" w:rsidRPr="00FB3871">
        <w:t xml:space="preserve"> </w:t>
      </w:r>
      <w:r w:rsidR="006C4882" w:rsidRPr="00FB3871">
        <w:t>all of</w:t>
      </w:r>
      <w:r w:rsidR="00E3740D" w:rsidRPr="00FB3871">
        <w:t xml:space="preserve"> </w:t>
      </w:r>
      <w:r w:rsidR="002F2753" w:rsidRPr="00FB3871">
        <w:t>Subpart E</w:t>
      </w:r>
      <w:r w:rsidR="001F3CEC">
        <w:t>,</w:t>
      </w:r>
      <w:r w:rsidR="002F2753" w:rsidRPr="00FB3871">
        <w:t xml:space="preserve"> Cost Principles</w:t>
      </w:r>
      <w:r w:rsidR="00BE1367" w:rsidRPr="00FB3871">
        <w:t>.</w:t>
      </w:r>
    </w:p>
    <w:p w14:paraId="095A2486" w14:textId="11E8BB83" w:rsidR="002F4778" w:rsidRPr="0018019C" w:rsidRDefault="002F4778" w:rsidP="00E54478"/>
    <w:p w14:paraId="7AB19DEA" w14:textId="77777777" w:rsidR="0084554A" w:rsidRDefault="0084554A" w:rsidP="00E54478"/>
    <w:p w14:paraId="0B04059C" w14:textId="77777777" w:rsidR="00522021" w:rsidRPr="003F395E" w:rsidRDefault="00E40731" w:rsidP="00E54478">
      <w:pPr>
        <w:pStyle w:val="Heading1"/>
      </w:pPr>
      <w:bookmarkStart w:id="12" w:name="_Toc46134383"/>
      <w:bookmarkStart w:id="13" w:name="_Toc123110521"/>
      <w:bookmarkStart w:id="14" w:name="_Toc123198150"/>
      <w:bookmarkStart w:id="15" w:name="_Toc123198385"/>
      <w:bookmarkStart w:id="16" w:name="_Toc171781481"/>
      <w:r w:rsidRPr="003F395E">
        <w:t xml:space="preserve">2.1 </w:t>
      </w:r>
      <w:r w:rsidR="00522021" w:rsidRPr="003F395E">
        <w:t>Accounting Procedures</w:t>
      </w:r>
      <w:bookmarkEnd w:id="12"/>
      <w:bookmarkEnd w:id="13"/>
      <w:bookmarkEnd w:id="14"/>
      <w:bookmarkEnd w:id="15"/>
      <w:bookmarkEnd w:id="16"/>
    </w:p>
    <w:p w14:paraId="3457DEDB" w14:textId="77777777" w:rsidR="00E40731" w:rsidRPr="00502B1A" w:rsidRDefault="00E40731" w:rsidP="00E54478"/>
    <w:p w14:paraId="0BC898CC" w14:textId="72B027C4" w:rsidR="005E6182" w:rsidRDefault="00522021" w:rsidP="00E54478">
      <w:r w:rsidRPr="00817FFD">
        <w:t xml:space="preserve">The </w:t>
      </w:r>
      <w:r w:rsidR="00A778B9" w:rsidRPr="00817FFD">
        <w:t>Grant Recipient</w:t>
      </w:r>
      <w:r w:rsidRPr="00817FFD">
        <w:t xml:space="preserve"> is responsible for ensuring that all </w:t>
      </w:r>
      <w:r w:rsidR="00A208D6" w:rsidRPr="00817FFD">
        <w:t>TxCDBG</w:t>
      </w:r>
      <w:r w:rsidRPr="00817FFD">
        <w:t xml:space="preserve"> expenditures are authorized in the approved budget</w:t>
      </w:r>
      <w:r w:rsidRPr="00594522">
        <w:t>.</w:t>
      </w:r>
      <w:r w:rsidR="001E6BC7">
        <w:t xml:space="preserve"> </w:t>
      </w:r>
      <w:r w:rsidR="000C2C94">
        <w:t>A</w:t>
      </w:r>
      <w:r w:rsidR="00403498">
        <w:t xml:space="preserve">ccounting records </w:t>
      </w:r>
      <w:r w:rsidR="000C2C94">
        <w:t xml:space="preserve">for TxCDBG project funds </w:t>
      </w:r>
      <w:r w:rsidR="00403498">
        <w:t>must be maintained separate</w:t>
      </w:r>
      <w:r w:rsidR="00E54478">
        <w:t>ly</w:t>
      </w:r>
      <w:r w:rsidR="00403498">
        <w:t xml:space="preserve"> from the general municipal/county funds.</w:t>
      </w:r>
      <w:r w:rsidR="00936011">
        <w:t xml:space="preserve"> </w:t>
      </w:r>
      <w:r w:rsidR="0057327C" w:rsidRPr="00594522">
        <w:t>These records</w:t>
      </w:r>
      <w:r w:rsidRPr="00594522">
        <w:t xml:space="preserve"> </w:t>
      </w:r>
      <w:r w:rsidR="003B3A11" w:rsidRPr="00276184">
        <w:t>should</w:t>
      </w:r>
      <w:r w:rsidR="003B3A11" w:rsidRPr="00AE4510">
        <w:t xml:space="preserve"> be</w:t>
      </w:r>
      <w:r w:rsidRPr="00AE4510">
        <w:t xml:space="preserve"> developed </w:t>
      </w:r>
      <w:r w:rsidR="001E6BC7">
        <w:t xml:space="preserve">and maintained </w:t>
      </w:r>
      <w:r w:rsidRPr="00AE4510">
        <w:t xml:space="preserve">to be consistent with the </w:t>
      </w:r>
      <w:r w:rsidR="00A778B9" w:rsidRPr="00AE4510">
        <w:t>Grant Recipient</w:t>
      </w:r>
      <w:r w:rsidRPr="00AE4510">
        <w:t xml:space="preserve">'s general accounting </w:t>
      </w:r>
      <w:r w:rsidR="005E6182">
        <w:t>records</w:t>
      </w:r>
      <w:r w:rsidRPr="00AE4510">
        <w:t xml:space="preserve">. </w:t>
      </w:r>
    </w:p>
    <w:p w14:paraId="084D88EB" w14:textId="77777777" w:rsidR="005E6182" w:rsidRDefault="005E6182" w:rsidP="002C2A7D">
      <w:pPr>
        <w:pStyle w:val="1BODY-Arial11"/>
      </w:pPr>
    </w:p>
    <w:p w14:paraId="2A0D3F57" w14:textId="281081D3" w:rsidR="000F6591" w:rsidRDefault="009B53CC" w:rsidP="00E54478">
      <w:r>
        <w:t>Grant Recipients must take the steps</w:t>
      </w:r>
      <w:r w:rsidR="006B1456">
        <w:t xml:space="preserve"> outlined below</w:t>
      </w:r>
      <w:r>
        <w:t xml:space="preserve"> to ensure an adequate local accounting system for TxCDBG funds. </w:t>
      </w:r>
    </w:p>
    <w:p w14:paraId="6FDD8B3D" w14:textId="5E1CCDCE" w:rsidR="00BC401C" w:rsidRPr="00817FFD" w:rsidRDefault="00BC401C" w:rsidP="00E54478"/>
    <w:p w14:paraId="5943C6E5" w14:textId="77777777" w:rsidR="001A2FBF" w:rsidRPr="00817FFD" w:rsidRDefault="001A2FBF" w:rsidP="00E54478"/>
    <w:p w14:paraId="18321450" w14:textId="4DAACBB7" w:rsidR="00522021" w:rsidRDefault="009B53CC" w:rsidP="00E54478">
      <w:pPr>
        <w:pStyle w:val="Heading2"/>
      </w:pPr>
      <w:bookmarkStart w:id="17" w:name="_Toc46134384"/>
      <w:bookmarkStart w:id="18" w:name="_Toc123110522"/>
      <w:bookmarkStart w:id="19" w:name="_Toc123198151"/>
      <w:bookmarkStart w:id="20" w:name="_Toc123198386"/>
      <w:bookmarkStart w:id="21" w:name="_Toc171781482"/>
      <w:r>
        <w:t>2.1.1 Establish Internal Controls</w:t>
      </w:r>
      <w:bookmarkEnd w:id="17"/>
      <w:bookmarkEnd w:id="18"/>
      <w:bookmarkEnd w:id="19"/>
      <w:bookmarkEnd w:id="20"/>
      <w:bookmarkEnd w:id="21"/>
    </w:p>
    <w:p w14:paraId="2C55FEBA" w14:textId="77777777" w:rsidR="00BA15CE" w:rsidRPr="00BA15CE" w:rsidRDefault="00BA15CE" w:rsidP="00E54478"/>
    <w:p w14:paraId="544201BA" w14:textId="6A7C30F7" w:rsidR="00522021" w:rsidRPr="003E127A" w:rsidRDefault="009B53CC" w:rsidP="00E54478">
      <w:r w:rsidRPr="003E127A">
        <w:t>The Grant Recipient should establish internal controls that provide responsible management of TxCDBG funds. The system of internal controls should meet the following criteria:</w:t>
      </w:r>
    </w:p>
    <w:p w14:paraId="03490D0C" w14:textId="396F6BFE" w:rsidR="00522021" w:rsidRPr="001E6BC7" w:rsidRDefault="009B53CC" w:rsidP="00E54478">
      <w:pPr>
        <w:pStyle w:val="2Bulletedlist-Arial11"/>
        <w:spacing w:line="240" w:lineRule="auto"/>
      </w:pPr>
      <w:r>
        <w:t>A</w:t>
      </w:r>
      <w:r w:rsidRPr="001E6BC7">
        <w:t xml:space="preserve">ll </w:t>
      </w:r>
      <w:r w:rsidR="0066560C">
        <w:t xml:space="preserve">applicable </w:t>
      </w:r>
      <w:r w:rsidR="00DD5D69" w:rsidRPr="001E6BC7">
        <w:t xml:space="preserve">federal, state, and local </w:t>
      </w:r>
      <w:r w:rsidRPr="001E6BC7">
        <w:t xml:space="preserve">conflict of interest </w:t>
      </w:r>
      <w:proofErr w:type="gramStart"/>
      <w:r w:rsidRPr="001E6BC7">
        <w:t>provisions</w:t>
      </w:r>
      <w:r w:rsidR="00255788">
        <w:t>;</w:t>
      </w:r>
      <w:proofErr w:type="gramEnd"/>
    </w:p>
    <w:p w14:paraId="2076D555" w14:textId="38172E1E" w:rsidR="00066F74" w:rsidRDefault="007F0EE2" w:rsidP="00E54478">
      <w:pPr>
        <w:pStyle w:val="2Bulletedlist-Arial11"/>
        <w:spacing w:line="240" w:lineRule="auto"/>
      </w:pPr>
      <w:r w:rsidRPr="001E6BC7">
        <w:t>The foundation of a good internal control system i</w:t>
      </w:r>
      <w:r w:rsidR="00F83C81">
        <w:t>s the</w:t>
      </w:r>
      <w:r w:rsidRPr="001E6BC7">
        <w:t xml:space="preserve"> segregation of duties. The duties of authorization (signing a check or releasing a wire transfer), custody (having access to the blank</w:t>
      </w:r>
      <w:r w:rsidR="004D127B">
        <w:t xml:space="preserve"> </w:t>
      </w:r>
      <w:r w:rsidRPr="001E6BC7">
        <w:t>check</w:t>
      </w:r>
      <w:r w:rsidR="004D127B">
        <w:t xml:space="preserve"> </w:t>
      </w:r>
      <w:r w:rsidRPr="001E6BC7">
        <w:t xml:space="preserve">stock or the ability to establish a wire transfer), and recordkeeping (ability to record the transaction in the accounting system) should be separated so that </w:t>
      </w:r>
      <w:r w:rsidR="000C2C94">
        <w:t xml:space="preserve">no </w:t>
      </w:r>
      <w:r w:rsidRPr="001E6BC7">
        <w:t xml:space="preserve">one individual can complete a transaction from start to finish. </w:t>
      </w:r>
      <w:r w:rsidR="009B53CC" w:rsidRPr="001E6BC7">
        <w:t xml:space="preserve">No person </w:t>
      </w:r>
      <w:r w:rsidRPr="001E6BC7">
        <w:t xml:space="preserve">should </w:t>
      </w:r>
      <w:r w:rsidR="0012494E">
        <w:t xml:space="preserve">ever </w:t>
      </w:r>
      <w:r w:rsidRPr="001E6BC7">
        <w:t xml:space="preserve">have </w:t>
      </w:r>
      <w:r w:rsidR="009B53CC" w:rsidRPr="001E6BC7">
        <w:t xml:space="preserve">complete control over every phase of a </w:t>
      </w:r>
      <w:proofErr w:type="gramStart"/>
      <w:r w:rsidR="009B53CC" w:rsidRPr="001E6BC7">
        <w:t>transaction</w:t>
      </w:r>
      <w:r w:rsidR="0066560C">
        <w:t>;</w:t>
      </w:r>
      <w:proofErr w:type="gramEnd"/>
      <w:r w:rsidR="00066F74">
        <w:t xml:space="preserve"> </w:t>
      </w:r>
    </w:p>
    <w:p w14:paraId="24863BFC" w14:textId="6488F45B" w:rsidR="00522021" w:rsidRDefault="00AF7832" w:rsidP="00E54478">
      <w:pPr>
        <w:pStyle w:val="2Bulletedlist-Arial11"/>
        <w:numPr>
          <w:ilvl w:val="1"/>
          <w:numId w:val="27"/>
        </w:numPr>
        <w:spacing w:line="240" w:lineRule="auto"/>
        <w:ind w:left="1080"/>
      </w:pPr>
      <w:r>
        <w:t>T</w:t>
      </w:r>
      <w:r w:rsidR="009B53CC" w:rsidRPr="001E6BC7">
        <w:t>he person who authorizes payments to contractors should not draft and issue the payment check</w:t>
      </w:r>
      <w:r w:rsidR="00F83C81">
        <w:t>s</w:t>
      </w:r>
      <w:r w:rsidR="00B423D3">
        <w:t>.</w:t>
      </w:r>
    </w:p>
    <w:p w14:paraId="503F1A11" w14:textId="56E79F7A" w:rsidR="00B423D3" w:rsidRPr="001E6BC7" w:rsidRDefault="00B423D3" w:rsidP="00E54478">
      <w:pPr>
        <w:pStyle w:val="2Bulletedlist-Arial11"/>
        <w:numPr>
          <w:ilvl w:val="1"/>
          <w:numId w:val="27"/>
        </w:numPr>
        <w:spacing w:line="240" w:lineRule="auto"/>
        <w:ind w:left="1080"/>
      </w:pPr>
      <w:r>
        <w:t>The local government should require at least two signatures on checks.</w:t>
      </w:r>
    </w:p>
    <w:p w14:paraId="09F9A7DB" w14:textId="29A2E39F" w:rsidR="00403498" w:rsidRDefault="003235FF" w:rsidP="003235FF">
      <w:pPr>
        <w:pStyle w:val="2Bulletedlist-Arial11"/>
        <w:numPr>
          <w:ilvl w:val="0"/>
          <w:numId w:val="0"/>
        </w:numPr>
        <w:spacing w:line="240" w:lineRule="auto"/>
        <w:ind w:left="720"/>
      </w:pPr>
      <w:r w:rsidRPr="00D27B17">
        <w:rPr>
          <w:b/>
        </w:rPr>
        <w:t>BEST PRACTICE:</w:t>
      </w:r>
      <w:r w:rsidRPr="00D27B17">
        <w:t xml:space="preserve"> </w:t>
      </w:r>
      <w:r w:rsidR="00013900">
        <w:t>F</w:t>
      </w:r>
      <w:r w:rsidR="00403498">
        <w:t xml:space="preserve">iscal recordkeeping for TxCDBG </w:t>
      </w:r>
      <w:r w:rsidR="00013900">
        <w:t>Grant A</w:t>
      </w:r>
      <w:r w:rsidR="003E127A">
        <w:t xml:space="preserve">greements </w:t>
      </w:r>
      <w:r w:rsidR="00403498">
        <w:t xml:space="preserve">should be maintained separately </w:t>
      </w:r>
      <w:r w:rsidR="00B07B2F">
        <w:t xml:space="preserve">for each </w:t>
      </w:r>
      <w:proofErr w:type="gramStart"/>
      <w:r w:rsidR="00B07B2F">
        <w:t>grant</w:t>
      </w:r>
      <w:r w:rsidR="0066560C">
        <w:t>;</w:t>
      </w:r>
      <w:proofErr w:type="gramEnd"/>
    </w:p>
    <w:p w14:paraId="4864A14F" w14:textId="2173A263" w:rsidR="00522021" w:rsidRPr="001E6BC7" w:rsidRDefault="009B53CC" w:rsidP="00E54478">
      <w:pPr>
        <w:pStyle w:val="2Bulletedlist-Arial11"/>
        <w:spacing w:line="240" w:lineRule="auto"/>
      </w:pPr>
      <w:r w:rsidRPr="001E6BC7">
        <w:t xml:space="preserve">Where feasible, monthly bank reconciliation and/or direct deposit monthly statements should be made by someone who is not responsible for handling cash or issuing </w:t>
      </w:r>
      <w:proofErr w:type="gramStart"/>
      <w:r w:rsidRPr="001E6BC7">
        <w:t>checks</w:t>
      </w:r>
      <w:r w:rsidR="00255788">
        <w:t>;</w:t>
      </w:r>
      <w:proofErr w:type="gramEnd"/>
      <w:r w:rsidR="00255788">
        <w:t xml:space="preserve"> </w:t>
      </w:r>
    </w:p>
    <w:p w14:paraId="578D2898" w14:textId="6C296D2E" w:rsidR="00522021" w:rsidRDefault="009B53CC" w:rsidP="00E54478">
      <w:pPr>
        <w:pStyle w:val="2Bulletedlist-Arial11"/>
        <w:spacing w:line="240" w:lineRule="auto"/>
      </w:pPr>
      <w:r w:rsidRPr="001E6BC7">
        <w:t>The person issuing checks for grant expenses should not also handle payroll preparation</w:t>
      </w:r>
      <w:r w:rsidR="00AF7832">
        <w:t xml:space="preserve"> or </w:t>
      </w:r>
      <w:r w:rsidRPr="001E6BC7">
        <w:t>issuance of paychecks</w:t>
      </w:r>
      <w:r w:rsidR="0066560C">
        <w:t>; and</w:t>
      </w:r>
      <w:r w:rsidRPr="001E6BC7">
        <w:t xml:space="preserve"> </w:t>
      </w:r>
    </w:p>
    <w:p w14:paraId="039B342B" w14:textId="64117163" w:rsidR="00EC06AF" w:rsidRPr="001E6BC7" w:rsidRDefault="00EC06AF" w:rsidP="00E54478">
      <w:pPr>
        <w:pStyle w:val="2Bulletedlist-Arial11"/>
        <w:spacing w:line="240" w:lineRule="auto"/>
      </w:pPr>
      <w:r>
        <w:t>Other internal controls may include reviewing randomly selected transactions and their supporting documentation, taking periodic asset counts, or checking financial reconciliations.</w:t>
      </w:r>
    </w:p>
    <w:p w14:paraId="5D5B2157" w14:textId="77777777" w:rsidR="00605925" w:rsidRPr="00D83A12" w:rsidRDefault="00605925" w:rsidP="00E54478"/>
    <w:p w14:paraId="1969C71F" w14:textId="77777777" w:rsidR="00EC0658" w:rsidRDefault="009B53CC" w:rsidP="00E54478">
      <w:pPr>
        <w:pStyle w:val="2Bulletedlist-Arial11"/>
        <w:numPr>
          <w:ilvl w:val="0"/>
          <w:numId w:val="0"/>
        </w:numPr>
        <w:spacing w:line="240" w:lineRule="auto"/>
      </w:pPr>
      <w:r>
        <w:t xml:space="preserve">State law and the charters of home rule cities contain fidelity bond requirements for certain city and county officials. For their own protection, TDA recommends that all Grant Recipients additionally obtain a fidelity bond for each employee or official having access to project assets, accounting records, or checks. </w:t>
      </w:r>
    </w:p>
    <w:p w14:paraId="07BAE421" w14:textId="637BE28D" w:rsidR="00EC0658" w:rsidRDefault="009B53CC" w:rsidP="00E54478">
      <w:pPr>
        <w:pStyle w:val="2Bulletedlist-Arial11"/>
        <w:numPr>
          <w:ilvl w:val="1"/>
          <w:numId w:val="85"/>
        </w:numPr>
        <w:spacing w:line="240" w:lineRule="auto"/>
        <w:ind w:left="720"/>
      </w:pPr>
      <w:r>
        <w:t>The bond</w:t>
      </w:r>
      <w:r w:rsidR="009C722A">
        <w:t xml:space="preserve">, </w:t>
      </w:r>
      <w:r w:rsidR="00CD492E">
        <w:t xml:space="preserve">either </w:t>
      </w:r>
      <w:r>
        <w:t>position or blanket type</w:t>
      </w:r>
      <w:r w:rsidR="009C722A">
        <w:t xml:space="preserve">, </w:t>
      </w:r>
      <w:r>
        <w:t>should be in an amount at least equal to the total project assets that would be available to the project at any time.</w:t>
      </w:r>
      <w:r w:rsidR="007F0EE2">
        <w:t xml:space="preserve"> </w:t>
      </w:r>
      <w:r w:rsidR="00E6751D" w:rsidRPr="007C1F89">
        <w:t xml:space="preserve">TDA </w:t>
      </w:r>
      <w:r w:rsidR="00E6751D" w:rsidRPr="007C4FC5">
        <w:t xml:space="preserve">may require adequate fidelity bond coverage </w:t>
      </w:r>
      <w:r w:rsidR="006B1456">
        <w:t xml:space="preserve">in instances when </w:t>
      </w:r>
      <w:r w:rsidR="00E6751D" w:rsidRPr="007C4FC5">
        <w:t xml:space="preserve">the Grant Recipient lacks sufficient coverage to protect the </w:t>
      </w:r>
      <w:r w:rsidR="004D127B">
        <w:t>f</w:t>
      </w:r>
      <w:r w:rsidR="00E6751D" w:rsidRPr="007C4FC5">
        <w:t xml:space="preserve">ederal </w:t>
      </w:r>
      <w:r w:rsidR="004D127B">
        <w:t>g</w:t>
      </w:r>
      <w:r w:rsidR="00E6751D" w:rsidRPr="007C4FC5">
        <w:t>overnment's interest.</w:t>
      </w:r>
      <w:r w:rsidR="00E6751D">
        <w:t xml:space="preserve"> </w:t>
      </w:r>
    </w:p>
    <w:p w14:paraId="0C1AE372" w14:textId="3A414BC1" w:rsidR="00E012FA" w:rsidRDefault="00E6751D" w:rsidP="00E54478">
      <w:pPr>
        <w:pStyle w:val="2Bulletedlist-Arial11"/>
        <w:numPr>
          <w:ilvl w:val="1"/>
          <w:numId w:val="85"/>
        </w:numPr>
        <w:spacing w:line="240" w:lineRule="auto"/>
        <w:ind w:left="720"/>
      </w:pPr>
      <w:r>
        <w:t xml:space="preserve">If the latter requires an additional premium to be paid on the Grant Recipient's existing policy, this extra cost can be reimbursed out of the </w:t>
      </w:r>
      <w:r w:rsidR="00CD492E">
        <w:t>g</w:t>
      </w:r>
      <w:r>
        <w:t xml:space="preserve">eneral </w:t>
      </w:r>
      <w:r w:rsidR="00CD492E">
        <w:t>a</w:t>
      </w:r>
      <w:r>
        <w:t xml:space="preserve">dministration budget category of the TxCDBG </w:t>
      </w:r>
      <w:r w:rsidR="0080050B">
        <w:t>Grant Agreement</w:t>
      </w:r>
      <w:r>
        <w:t>.</w:t>
      </w:r>
    </w:p>
    <w:p w14:paraId="6466C1A3" w14:textId="36AE2C5D" w:rsidR="00E012FA" w:rsidRPr="005F42BF" w:rsidRDefault="00E012FA" w:rsidP="00E54478"/>
    <w:p w14:paraId="551F68B3" w14:textId="77777777" w:rsidR="00634CC2" w:rsidRDefault="00634CC2" w:rsidP="00E54478"/>
    <w:p w14:paraId="310076BE" w14:textId="7E98BC8C" w:rsidR="002312A2" w:rsidRPr="00817FFD" w:rsidRDefault="009B53CC" w:rsidP="00E54478">
      <w:pPr>
        <w:pStyle w:val="Heading2"/>
      </w:pPr>
      <w:bookmarkStart w:id="22" w:name="_Toc7269267"/>
      <w:bookmarkStart w:id="23" w:name="_Toc38100392"/>
      <w:bookmarkStart w:id="24" w:name="_Toc46134386"/>
      <w:bookmarkStart w:id="25" w:name="_Toc123110523"/>
      <w:bookmarkStart w:id="26" w:name="_Toc123198152"/>
      <w:bookmarkStart w:id="27" w:name="_Toc123198387"/>
      <w:bookmarkStart w:id="28" w:name="_Toc171781483"/>
      <w:bookmarkEnd w:id="10"/>
      <w:bookmarkEnd w:id="11"/>
      <w:r>
        <w:t>2.1.</w:t>
      </w:r>
      <w:r w:rsidR="00702EBA">
        <w:t>2</w:t>
      </w:r>
      <w:r>
        <w:t xml:space="preserve"> Establish/Maintain Document Files and Records</w:t>
      </w:r>
      <w:bookmarkEnd w:id="22"/>
      <w:bookmarkEnd w:id="23"/>
      <w:bookmarkEnd w:id="24"/>
      <w:bookmarkEnd w:id="25"/>
      <w:bookmarkEnd w:id="26"/>
      <w:bookmarkEnd w:id="27"/>
      <w:bookmarkEnd w:id="28"/>
    </w:p>
    <w:p w14:paraId="15E6B474" w14:textId="77777777" w:rsidR="00E33230" w:rsidRDefault="00E33230" w:rsidP="00E54478"/>
    <w:p w14:paraId="47130DF4" w14:textId="77777777" w:rsidR="004F1C54" w:rsidRDefault="009B53CC" w:rsidP="00E54478">
      <w:r w:rsidRPr="00D27B17">
        <w:t>TxCDBG grant funds must be car</w:t>
      </w:r>
      <w:r w:rsidR="00D04614" w:rsidRPr="00D27B17">
        <w:t xml:space="preserve">efully tracked and documented. </w:t>
      </w:r>
    </w:p>
    <w:p w14:paraId="6045B51A" w14:textId="77777777" w:rsidR="00837C1E" w:rsidRDefault="00837C1E" w:rsidP="00E54478"/>
    <w:p w14:paraId="55075C65" w14:textId="4AAD5D81" w:rsidR="001B5881" w:rsidRPr="00D27B17" w:rsidRDefault="007F2BB3" w:rsidP="00E54478">
      <w:r w:rsidRPr="00D27B17">
        <w:rPr>
          <w:b/>
        </w:rPr>
        <w:t>BEST PRACTICE:</w:t>
      </w:r>
      <w:r w:rsidR="00B54052" w:rsidRPr="00D27B17">
        <w:t xml:space="preserve"> </w:t>
      </w:r>
      <w:r w:rsidR="009B53CC" w:rsidRPr="00D27B17">
        <w:t>TDA strongly recommends that the Grant Recipient establish a separate, non-interest</w:t>
      </w:r>
      <w:r w:rsidR="00FF1669" w:rsidRPr="00D27B17">
        <w:t>-b</w:t>
      </w:r>
      <w:r w:rsidR="009B53CC" w:rsidRPr="00D27B17">
        <w:t xml:space="preserve">earing bank account for grant and local match funds. </w:t>
      </w:r>
    </w:p>
    <w:p w14:paraId="6A01ECED" w14:textId="50C6C54B" w:rsidR="001B5881" w:rsidRDefault="00AB0231" w:rsidP="00E54478">
      <w:pPr>
        <w:pStyle w:val="2Bulletedlist-Arial11"/>
        <w:spacing w:line="240" w:lineRule="auto"/>
      </w:pPr>
      <w:r w:rsidRPr="00127868">
        <w:t xml:space="preserve">If the Grant </w:t>
      </w:r>
      <w:r w:rsidR="00AD55F1" w:rsidRPr="00127868">
        <w:t>R</w:t>
      </w:r>
      <w:r w:rsidRPr="00127868">
        <w:t>ecipient chooses to deposit grant funds into an interest</w:t>
      </w:r>
      <w:r w:rsidR="00FF1669">
        <w:t>-</w:t>
      </w:r>
      <w:r w:rsidRPr="00127868">
        <w:t xml:space="preserve">bearing account, </w:t>
      </w:r>
      <w:r w:rsidR="00327C0B" w:rsidRPr="00127868">
        <w:t>contact TDA.</w:t>
      </w:r>
      <w:r w:rsidR="00DD0896">
        <w:rPr>
          <w:rStyle w:val="FootnoteReference"/>
        </w:rPr>
        <w:footnoteReference w:id="1"/>
      </w:r>
      <w:r w:rsidR="00FF1669">
        <w:t xml:space="preserve"> </w:t>
      </w:r>
    </w:p>
    <w:p w14:paraId="66620775" w14:textId="7CC4175B" w:rsidR="001B5881" w:rsidRDefault="001B5881" w:rsidP="00E54478">
      <w:pPr>
        <w:pStyle w:val="2Bulletedlist-Arial11"/>
        <w:spacing w:line="240" w:lineRule="auto"/>
      </w:pPr>
      <w:r>
        <w:t>If the Grant Recipient elects not to use a separate account, separate financial records must still be maintained in addition to the Grant Recipient’s</w:t>
      </w:r>
      <w:r w:rsidRPr="001E6BC7">
        <w:t xml:space="preserve"> general accounting </w:t>
      </w:r>
      <w:r w:rsidR="00A31E86" w:rsidRPr="001E6BC7">
        <w:t>operations</w:t>
      </w:r>
      <w:r w:rsidR="00A31E86">
        <w:t xml:space="preserve"> and</w:t>
      </w:r>
      <w:r w:rsidR="00A83262">
        <w:t xml:space="preserve"> must be available upon </w:t>
      </w:r>
      <w:r w:rsidR="004D127B">
        <w:t>request</w:t>
      </w:r>
      <w:r w:rsidR="004D127B" w:rsidRPr="001E6BC7">
        <w:t xml:space="preserve"> </w:t>
      </w:r>
      <w:r w:rsidR="004D127B">
        <w:t>by</w:t>
      </w:r>
      <w:r w:rsidR="00A83262">
        <w:t xml:space="preserve"> TDA or other relevant agencies.</w:t>
      </w:r>
    </w:p>
    <w:p w14:paraId="09C0E8D6" w14:textId="1D55822C" w:rsidR="00590EAB" w:rsidRDefault="00590EAB" w:rsidP="00E54478">
      <w:pPr>
        <w:pStyle w:val="2Bulletedlist-Arial11"/>
        <w:spacing w:line="240" w:lineRule="auto"/>
      </w:pPr>
      <w:r>
        <w:t xml:space="preserve">If the </w:t>
      </w:r>
      <w:r w:rsidR="008A7524">
        <w:t>G</w:t>
      </w:r>
      <w:r>
        <w:t xml:space="preserve">rant Recipient elects not to use a non-interest-bearing account, any interest earned </w:t>
      </w:r>
      <w:proofErr w:type="gramStart"/>
      <w:r>
        <w:t>as a result of</w:t>
      </w:r>
      <w:proofErr w:type="gramEnd"/>
      <w:r>
        <w:t xml:space="preserve"> deposited grant funds may be required to be returned to the federal Treasury.</w:t>
      </w:r>
    </w:p>
    <w:p w14:paraId="107C19F5" w14:textId="77777777" w:rsidR="00EC0658" w:rsidRPr="001B5881" w:rsidRDefault="00EC0658" w:rsidP="00E54478">
      <w:pPr>
        <w:pStyle w:val="2Bulletedlist-Arial11"/>
        <w:numPr>
          <w:ilvl w:val="0"/>
          <w:numId w:val="0"/>
        </w:numPr>
        <w:spacing w:line="240" w:lineRule="auto"/>
      </w:pPr>
    </w:p>
    <w:p w14:paraId="23374E51" w14:textId="7C4B5D09" w:rsidR="00551DF4" w:rsidRDefault="00AD55F1" w:rsidP="00E54478">
      <w:pPr>
        <w:pStyle w:val="3Arial11"/>
      </w:pPr>
      <w:r w:rsidRPr="001A2FBF">
        <w:t xml:space="preserve">Financial Records </w:t>
      </w:r>
      <w:r w:rsidR="000F32C3">
        <w:t>M</w:t>
      </w:r>
      <w:r w:rsidRPr="001A2FBF">
        <w:t xml:space="preserve">ust </w:t>
      </w:r>
      <w:r w:rsidR="00CA015D">
        <w:t>I</w:t>
      </w:r>
      <w:r w:rsidRPr="001A2FBF">
        <w:t xml:space="preserve">nclude the </w:t>
      </w:r>
      <w:r w:rsidR="00CA015D">
        <w:t>F</w:t>
      </w:r>
      <w:r w:rsidRPr="001A2FBF">
        <w:t>ollowing:</w:t>
      </w:r>
    </w:p>
    <w:p w14:paraId="2C353FBD" w14:textId="746F9EEF" w:rsidR="00A83262" w:rsidRDefault="00A83262" w:rsidP="00E54478">
      <w:pPr>
        <w:pStyle w:val="2Bulletedlist-Arial11"/>
        <w:spacing w:line="240" w:lineRule="auto"/>
      </w:pPr>
      <w:r w:rsidRPr="00A64449">
        <w:rPr>
          <w:b/>
          <w:bCs/>
        </w:rPr>
        <w:t>Transaction</w:t>
      </w:r>
      <w:r>
        <w:t xml:space="preserve"> </w:t>
      </w:r>
      <w:r w:rsidRPr="00A64449">
        <w:rPr>
          <w:b/>
          <w:bCs/>
        </w:rPr>
        <w:t>Register</w:t>
      </w:r>
      <w:r w:rsidR="00A64449">
        <w:t xml:space="preserve"> – </w:t>
      </w:r>
      <w:r>
        <w:t>The Grant Recipient’s TxCDBG financial records must include a log documenting all cost</w:t>
      </w:r>
      <w:r w:rsidR="00F83C81">
        <w:t>s and transaction dates</w:t>
      </w:r>
      <w:r w:rsidR="00FD45FE">
        <w:t xml:space="preserve"> in sequential order by </w:t>
      </w:r>
      <w:r w:rsidR="008A7524">
        <w:t xml:space="preserve">payment </w:t>
      </w:r>
      <w:r w:rsidR="00FD45FE">
        <w:t>request</w:t>
      </w:r>
      <w:r>
        <w:t>.</w:t>
      </w:r>
    </w:p>
    <w:p w14:paraId="11DB0E3B" w14:textId="77777777" w:rsidR="00A83262" w:rsidRDefault="00A83262" w:rsidP="00E54478">
      <w:pPr>
        <w:pStyle w:val="2Bulletedlist-Arial11"/>
        <w:numPr>
          <w:ilvl w:val="0"/>
          <w:numId w:val="36"/>
        </w:numPr>
        <w:spacing w:line="240" w:lineRule="auto"/>
      </w:pPr>
      <w:r>
        <w:t xml:space="preserve">The log must include </w:t>
      </w:r>
      <w:r w:rsidR="00FD45FE">
        <w:t xml:space="preserve">dates of deposited grant funds, </w:t>
      </w:r>
      <w:r>
        <w:t>the name of the vendor/service provider, the invoice number or similar identifier, total costs incurred for the payment, source of funds (grant reimbursement, matching funds, additional local</w:t>
      </w:r>
      <w:r w:rsidR="00DA1155">
        <w:t>/other</w:t>
      </w:r>
      <w:r>
        <w:t xml:space="preserve"> funds), the Grant Recipient’s check number disbursing funds</w:t>
      </w:r>
      <w:r w:rsidR="00F83C81">
        <w:t>,</w:t>
      </w:r>
      <w:r w:rsidR="00FD45FE">
        <w:t xml:space="preserve"> the check dates,</w:t>
      </w:r>
      <w:r w:rsidR="00F83C81">
        <w:t xml:space="preserve"> </w:t>
      </w:r>
      <w:r w:rsidR="002F4961" w:rsidRPr="00F83C81">
        <w:rPr>
          <w:color w:val="000000" w:themeColor="text1"/>
        </w:rPr>
        <w:t>and the dates of posted payments for each disbursement according to bank records</w:t>
      </w:r>
      <w:r w:rsidRPr="00F83C81">
        <w:rPr>
          <w:color w:val="000000" w:themeColor="text1"/>
        </w:rPr>
        <w:t>.</w:t>
      </w:r>
      <w:r w:rsidR="00FD45FE">
        <w:rPr>
          <w:color w:val="000000" w:themeColor="text1"/>
        </w:rPr>
        <w:t xml:space="preserve">  </w:t>
      </w:r>
    </w:p>
    <w:p w14:paraId="1BBD955F" w14:textId="25FC36FF" w:rsidR="00A83262" w:rsidRDefault="00A83262" w:rsidP="00E54478">
      <w:pPr>
        <w:pStyle w:val="2Bulletedlist-Arial11"/>
        <w:numPr>
          <w:ilvl w:val="0"/>
          <w:numId w:val="36"/>
        </w:numPr>
        <w:spacing w:line="240" w:lineRule="auto"/>
      </w:pPr>
      <w:r>
        <w:t xml:space="preserve">Although some of this information may be submitted in each </w:t>
      </w:r>
      <w:r w:rsidR="006B3D72">
        <w:t>payment</w:t>
      </w:r>
      <w:r w:rsidR="005451D6">
        <w:t xml:space="preserve"> request</w:t>
      </w:r>
      <w:r>
        <w:t xml:space="preserve">, </w:t>
      </w:r>
      <w:r w:rsidRPr="002401B7">
        <w:rPr>
          <w:b/>
          <w:bCs/>
        </w:rPr>
        <w:t>it is the responsibility of the Grant Recipient to maintain the complete financial transaction register</w:t>
      </w:r>
      <w:r>
        <w:t>.</w:t>
      </w:r>
    </w:p>
    <w:p w14:paraId="1D9D622C" w14:textId="20772FC7" w:rsidR="002312A2" w:rsidRPr="001A2FBF" w:rsidRDefault="00AD55F1" w:rsidP="00E54478">
      <w:pPr>
        <w:pStyle w:val="2Bulletedlist-Arial11"/>
        <w:spacing w:line="240" w:lineRule="auto"/>
      </w:pPr>
      <w:r w:rsidRPr="002401B7">
        <w:rPr>
          <w:b/>
          <w:bCs/>
        </w:rPr>
        <w:t>S</w:t>
      </w:r>
      <w:r w:rsidR="002312A2" w:rsidRPr="002401B7">
        <w:rPr>
          <w:b/>
          <w:bCs/>
        </w:rPr>
        <w:t>ource documentation</w:t>
      </w:r>
      <w:r w:rsidRPr="001A2FBF">
        <w:t>,</w:t>
      </w:r>
      <w:r w:rsidR="002312A2" w:rsidRPr="001A2FBF">
        <w:t xml:space="preserve"> </w:t>
      </w:r>
      <w:r w:rsidR="009338D4">
        <w:t>including the following</w:t>
      </w:r>
      <w:r w:rsidR="00A83262">
        <w:t>:</w:t>
      </w:r>
    </w:p>
    <w:p w14:paraId="5FC9BF0B" w14:textId="67935CE9" w:rsidR="002312A2" w:rsidRPr="00BC3898" w:rsidRDefault="000B7FB8" w:rsidP="00E54478">
      <w:pPr>
        <w:pStyle w:val="2Bulletedlist-Arial11"/>
        <w:numPr>
          <w:ilvl w:val="0"/>
          <w:numId w:val="52"/>
        </w:numPr>
        <w:spacing w:line="240" w:lineRule="auto"/>
      </w:pPr>
      <w:r>
        <w:t>Record</w:t>
      </w:r>
      <w:r w:rsidR="002312A2" w:rsidRPr="00BC3898">
        <w:t xml:space="preserve"> of direct deposit </w:t>
      </w:r>
      <w:proofErr w:type="gramStart"/>
      <w:r w:rsidR="002312A2" w:rsidRPr="00BC3898">
        <w:t>payments;</w:t>
      </w:r>
      <w:proofErr w:type="gramEnd"/>
    </w:p>
    <w:p w14:paraId="59B2FAE3" w14:textId="77777777" w:rsidR="002312A2" w:rsidRPr="00BC3898" w:rsidRDefault="009B53CC" w:rsidP="00E54478">
      <w:pPr>
        <w:pStyle w:val="2Bulletedlist-Arial11"/>
        <w:numPr>
          <w:ilvl w:val="0"/>
          <w:numId w:val="52"/>
        </w:numPr>
        <w:spacing w:line="240" w:lineRule="auto"/>
      </w:pPr>
      <w:r w:rsidRPr="00BC3898">
        <w:t xml:space="preserve">Verification of </w:t>
      </w:r>
      <w:proofErr w:type="gramStart"/>
      <w:r w:rsidRPr="00BC3898">
        <w:t>deposits;</w:t>
      </w:r>
      <w:proofErr w:type="gramEnd"/>
    </w:p>
    <w:p w14:paraId="424FB3E7" w14:textId="77777777" w:rsidR="002312A2" w:rsidRPr="00BC3898" w:rsidRDefault="009B53CC" w:rsidP="00E54478">
      <w:pPr>
        <w:pStyle w:val="2Bulletedlist-Arial11"/>
        <w:numPr>
          <w:ilvl w:val="0"/>
          <w:numId w:val="52"/>
        </w:numPr>
        <w:spacing w:line="240" w:lineRule="auto"/>
      </w:pPr>
      <w:r w:rsidRPr="00BC3898">
        <w:t xml:space="preserve">Monthly bank statements with canceled </w:t>
      </w:r>
      <w:proofErr w:type="gramStart"/>
      <w:r w:rsidRPr="00BC3898">
        <w:t>checks;</w:t>
      </w:r>
      <w:proofErr w:type="gramEnd"/>
      <w:r w:rsidRPr="00BC3898">
        <w:t xml:space="preserve"> </w:t>
      </w:r>
    </w:p>
    <w:p w14:paraId="06B56BCE" w14:textId="77777777" w:rsidR="002312A2" w:rsidRPr="00BC3898" w:rsidRDefault="009B53CC" w:rsidP="00E54478">
      <w:pPr>
        <w:pStyle w:val="2Bulletedlist-Arial11"/>
        <w:numPr>
          <w:ilvl w:val="0"/>
          <w:numId w:val="52"/>
        </w:numPr>
        <w:spacing w:line="240" w:lineRule="auto"/>
      </w:pPr>
      <w:r w:rsidRPr="00BC3898">
        <w:t xml:space="preserve">Check register/transaction </w:t>
      </w:r>
      <w:proofErr w:type="gramStart"/>
      <w:r w:rsidRPr="00BC3898">
        <w:t>ledger;</w:t>
      </w:r>
      <w:proofErr w:type="gramEnd"/>
    </w:p>
    <w:p w14:paraId="78F56ADD" w14:textId="77777777" w:rsidR="002312A2" w:rsidRPr="00BC3898" w:rsidRDefault="009B53CC" w:rsidP="00E54478">
      <w:pPr>
        <w:pStyle w:val="2Bulletedlist-Arial11"/>
        <w:numPr>
          <w:ilvl w:val="0"/>
          <w:numId w:val="52"/>
        </w:numPr>
        <w:spacing w:line="240" w:lineRule="auto"/>
      </w:pPr>
      <w:r w:rsidRPr="00BC3898">
        <w:t>Employee time and attendance sheets</w:t>
      </w:r>
      <w:r w:rsidR="00EC0658">
        <w:t xml:space="preserve"> related to costs </w:t>
      </w:r>
      <w:proofErr w:type="gramStart"/>
      <w:r w:rsidR="00EC0658">
        <w:t>claimed</w:t>
      </w:r>
      <w:r w:rsidRPr="00BC3898">
        <w:t>;</w:t>
      </w:r>
      <w:proofErr w:type="gramEnd"/>
    </w:p>
    <w:p w14:paraId="7A11A6DA" w14:textId="14287D1A" w:rsidR="002312A2" w:rsidRPr="00BC3898" w:rsidRDefault="009B53CC" w:rsidP="00E54478">
      <w:pPr>
        <w:pStyle w:val="2Bulletedlist-Arial11"/>
        <w:numPr>
          <w:ilvl w:val="0"/>
          <w:numId w:val="52"/>
        </w:numPr>
        <w:spacing w:line="240" w:lineRule="auto"/>
      </w:pPr>
      <w:r w:rsidRPr="00BC3898">
        <w:t>Equipment time record sheets</w:t>
      </w:r>
      <w:r w:rsidR="00EC0658">
        <w:t xml:space="preserve"> related to costs </w:t>
      </w:r>
      <w:proofErr w:type="gramStart"/>
      <w:r w:rsidR="00EC0658">
        <w:t>claimed</w:t>
      </w:r>
      <w:r w:rsidRPr="00BC3898">
        <w:t>;</w:t>
      </w:r>
      <w:proofErr w:type="gramEnd"/>
      <w:r w:rsidRPr="00BC3898">
        <w:t xml:space="preserve"> </w:t>
      </w:r>
    </w:p>
    <w:p w14:paraId="123B0218" w14:textId="5FA9C970" w:rsidR="002312A2" w:rsidRDefault="009B53CC" w:rsidP="00E54478">
      <w:pPr>
        <w:pStyle w:val="2Bulletedlist-Arial11"/>
        <w:numPr>
          <w:ilvl w:val="0"/>
          <w:numId w:val="52"/>
        </w:numPr>
        <w:spacing w:line="240" w:lineRule="auto"/>
      </w:pPr>
      <w:r w:rsidRPr="00BC3898">
        <w:t xml:space="preserve">Property </w:t>
      </w:r>
      <w:proofErr w:type="gramStart"/>
      <w:r w:rsidRPr="00BC3898">
        <w:t>inventory;</w:t>
      </w:r>
      <w:proofErr w:type="gramEnd"/>
    </w:p>
    <w:p w14:paraId="0FA1C5F3" w14:textId="55AB14DC" w:rsidR="00036FB6" w:rsidRPr="00BC3898" w:rsidRDefault="00036FB6" w:rsidP="00E54478">
      <w:pPr>
        <w:pStyle w:val="2Bulletedlist-Arial11"/>
        <w:numPr>
          <w:ilvl w:val="0"/>
          <w:numId w:val="52"/>
        </w:numPr>
        <w:spacing w:line="240" w:lineRule="auto"/>
      </w:pPr>
      <w:r>
        <w:t xml:space="preserve">Deeds, easement documents, and purchase agreements for acquisition of </w:t>
      </w:r>
      <w:proofErr w:type="gramStart"/>
      <w:r>
        <w:t>property;</w:t>
      </w:r>
      <w:proofErr w:type="gramEnd"/>
      <w:r>
        <w:t xml:space="preserve"> </w:t>
      </w:r>
    </w:p>
    <w:p w14:paraId="7CCC00CC" w14:textId="7200A6EA" w:rsidR="002312A2" w:rsidRPr="00BC3898" w:rsidRDefault="009B53CC" w:rsidP="00E54478">
      <w:pPr>
        <w:pStyle w:val="2Bulletedlist-Arial11"/>
        <w:numPr>
          <w:ilvl w:val="0"/>
          <w:numId w:val="52"/>
        </w:numPr>
        <w:spacing w:line="240" w:lineRule="auto"/>
      </w:pPr>
      <w:r w:rsidRPr="00BC3898">
        <w:t>Purchase orders, invoices,</w:t>
      </w:r>
      <w:r w:rsidR="00B17774">
        <w:t xml:space="preserve"> receipts,</w:t>
      </w:r>
      <w:r w:rsidRPr="00BC3898">
        <w:t xml:space="preserve"> and contractor requests for payments; and </w:t>
      </w:r>
    </w:p>
    <w:p w14:paraId="08188C28" w14:textId="7A6C0A7E" w:rsidR="00731B8C" w:rsidRDefault="009B53CC" w:rsidP="00E54478">
      <w:pPr>
        <w:pStyle w:val="2Bulletedlist-Arial11"/>
        <w:numPr>
          <w:ilvl w:val="0"/>
          <w:numId w:val="52"/>
        </w:numPr>
        <w:spacing w:line="240" w:lineRule="auto"/>
      </w:pPr>
      <w:r w:rsidRPr="00BC3898">
        <w:t>All original source documents.</w:t>
      </w:r>
    </w:p>
    <w:p w14:paraId="56AC3FD1" w14:textId="77777777" w:rsidR="00E54478" w:rsidRDefault="00E54478" w:rsidP="00E54478"/>
    <w:p w14:paraId="1691B52E" w14:textId="6B632C6D" w:rsidR="0096516E" w:rsidRPr="00D27B17" w:rsidRDefault="0096516E" w:rsidP="00E54478">
      <w:r w:rsidRPr="00D27B17">
        <w:t>Financial records must clearly identify costs within the following categories:</w:t>
      </w:r>
    </w:p>
    <w:p w14:paraId="6EE06579" w14:textId="02ED0694" w:rsidR="0096516E" w:rsidRPr="00E54478" w:rsidRDefault="0096516E" w:rsidP="00E54478">
      <w:pPr>
        <w:pStyle w:val="ListParagraph"/>
        <w:numPr>
          <w:ilvl w:val="0"/>
          <w:numId w:val="88"/>
        </w:numPr>
        <w:spacing w:after="0" w:line="240" w:lineRule="auto"/>
        <w:rPr>
          <w:rFonts w:ascii="Arial" w:hAnsi="Arial" w:cs="Arial"/>
        </w:rPr>
      </w:pPr>
      <w:r w:rsidRPr="00E54478">
        <w:rPr>
          <w:rFonts w:ascii="Arial" w:hAnsi="Arial" w:cs="Arial"/>
        </w:rPr>
        <w:t xml:space="preserve">Costs requested for reimbursement through grant </w:t>
      </w:r>
      <w:proofErr w:type="gramStart"/>
      <w:r w:rsidRPr="00E54478">
        <w:rPr>
          <w:rFonts w:ascii="Arial" w:hAnsi="Arial" w:cs="Arial"/>
        </w:rPr>
        <w:t>funds;</w:t>
      </w:r>
      <w:proofErr w:type="gramEnd"/>
    </w:p>
    <w:p w14:paraId="31A1C2E7" w14:textId="77777777" w:rsidR="0096516E" w:rsidRPr="00E54478" w:rsidRDefault="0096516E" w:rsidP="00E54478">
      <w:pPr>
        <w:pStyle w:val="ListParagraph"/>
        <w:numPr>
          <w:ilvl w:val="0"/>
          <w:numId w:val="88"/>
        </w:numPr>
        <w:spacing w:after="0" w:line="240" w:lineRule="auto"/>
        <w:rPr>
          <w:rFonts w:ascii="Arial" w:hAnsi="Arial" w:cs="Arial"/>
        </w:rPr>
      </w:pPr>
      <w:r w:rsidRPr="00E54478">
        <w:rPr>
          <w:rFonts w:ascii="Arial" w:hAnsi="Arial" w:cs="Arial"/>
        </w:rPr>
        <w:t>Costs to be claimed as matching funds, paid by the Grant Recipient or a partnering entity; and</w:t>
      </w:r>
    </w:p>
    <w:p w14:paraId="25BED9C8" w14:textId="02BF2E41" w:rsidR="0096516E" w:rsidRPr="00E54478" w:rsidRDefault="0096516E" w:rsidP="00E54478">
      <w:pPr>
        <w:pStyle w:val="ListParagraph"/>
        <w:numPr>
          <w:ilvl w:val="0"/>
          <w:numId w:val="88"/>
        </w:numPr>
        <w:spacing w:after="0" w:line="240" w:lineRule="auto"/>
        <w:rPr>
          <w:rFonts w:ascii="Arial" w:hAnsi="Arial" w:cs="Arial"/>
        </w:rPr>
      </w:pPr>
      <w:r w:rsidRPr="00E54478">
        <w:rPr>
          <w:rFonts w:ascii="Arial" w:hAnsi="Arial" w:cs="Arial"/>
        </w:rPr>
        <w:t xml:space="preserve">Costs to be paid by local funds that exceed the </w:t>
      </w:r>
      <w:r w:rsidR="0080050B" w:rsidRPr="00E54478">
        <w:rPr>
          <w:rFonts w:ascii="Arial" w:hAnsi="Arial" w:cs="Arial"/>
        </w:rPr>
        <w:t>Grant Agreement</w:t>
      </w:r>
      <w:r w:rsidR="00590EAB" w:rsidRPr="00E54478">
        <w:rPr>
          <w:rFonts w:ascii="Arial" w:hAnsi="Arial" w:cs="Arial"/>
        </w:rPr>
        <w:t xml:space="preserve"> </w:t>
      </w:r>
      <w:r w:rsidRPr="00E54478">
        <w:rPr>
          <w:rFonts w:ascii="Arial" w:hAnsi="Arial" w:cs="Arial"/>
        </w:rPr>
        <w:t>match amount or otherwise are not being claimed against the match commitment.</w:t>
      </w:r>
    </w:p>
    <w:p w14:paraId="4AEEDCD7" w14:textId="77777777" w:rsidR="00EC0658" w:rsidRPr="005D36D9" w:rsidRDefault="00EC0658" w:rsidP="00E54478">
      <w:pPr>
        <w:pStyle w:val="2Bulletedlist-Arial11"/>
        <w:numPr>
          <w:ilvl w:val="0"/>
          <w:numId w:val="0"/>
        </w:numPr>
        <w:spacing w:line="240" w:lineRule="auto"/>
      </w:pPr>
    </w:p>
    <w:p w14:paraId="6DFCF60A" w14:textId="1798D99C" w:rsidR="007F2BB3" w:rsidRDefault="00594522" w:rsidP="00E54478">
      <w:pPr>
        <w:pStyle w:val="Heading2"/>
      </w:pPr>
      <w:bookmarkStart w:id="30" w:name="_Toc46134387"/>
      <w:bookmarkStart w:id="31" w:name="_Toc123110524"/>
      <w:bookmarkStart w:id="32" w:name="_Toc123198153"/>
      <w:bookmarkStart w:id="33" w:name="_Toc123198388"/>
      <w:bookmarkStart w:id="34" w:name="_Toc171781484"/>
      <w:r>
        <w:t>2.1.</w:t>
      </w:r>
      <w:r w:rsidR="00702EBA">
        <w:t>3</w:t>
      </w:r>
      <w:r w:rsidRPr="005149DF">
        <w:t xml:space="preserve"> Establish</w:t>
      </w:r>
      <w:r>
        <w:t xml:space="preserve"> Responsible Persons</w:t>
      </w:r>
      <w:bookmarkEnd w:id="30"/>
      <w:bookmarkEnd w:id="31"/>
      <w:bookmarkEnd w:id="32"/>
      <w:bookmarkEnd w:id="33"/>
      <w:bookmarkEnd w:id="34"/>
    </w:p>
    <w:p w14:paraId="60FFB8BC" w14:textId="61463962" w:rsidR="00AE1B4E" w:rsidRDefault="00AE1B4E" w:rsidP="00E54478">
      <w:bookmarkStart w:id="35" w:name="_Toc7269269"/>
      <w:bookmarkStart w:id="36" w:name="_Toc38100394"/>
    </w:p>
    <w:p w14:paraId="5E1449D4" w14:textId="33F00DEC" w:rsidR="005C6E97" w:rsidRDefault="005C6E97" w:rsidP="00E54478">
      <w:pPr>
        <w:pStyle w:val="2Bulletedlist-Arial11"/>
        <w:numPr>
          <w:ilvl w:val="0"/>
          <w:numId w:val="0"/>
        </w:numPr>
        <w:spacing w:line="240" w:lineRule="auto"/>
      </w:pPr>
      <w:r w:rsidRPr="005C6E97">
        <w:t xml:space="preserve">The Grant Recipient </w:t>
      </w:r>
      <w:r w:rsidR="001D71C1">
        <w:t xml:space="preserve">must identify </w:t>
      </w:r>
      <w:r w:rsidRPr="005C6E97">
        <w:t>by resolution</w:t>
      </w:r>
      <w:r>
        <w:t xml:space="preserve"> the persons authorized to execute </w:t>
      </w:r>
      <w:r w:rsidR="008A7524">
        <w:t>payment requests</w:t>
      </w:r>
      <w:r>
        <w:t>.</w:t>
      </w:r>
      <w:r w:rsidR="000A04DF" w:rsidRPr="000A04DF">
        <w:rPr>
          <w:b/>
          <w:bCs/>
          <w:color w:val="000000" w:themeColor="text1"/>
        </w:rPr>
        <w:t xml:space="preserve"> </w:t>
      </w:r>
    </w:p>
    <w:p w14:paraId="00A5C862" w14:textId="542663AA" w:rsidR="005C6E97" w:rsidRPr="00E54478" w:rsidRDefault="005C6E97" w:rsidP="00E54478">
      <w:pPr>
        <w:pStyle w:val="2Bulletedlist-Arial11"/>
        <w:spacing w:line="240" w:lineRule="auto"/>
      </w:pPr>
      <w:r w:rsidRPr="00E54478">
        <w:t xml:space="preserve">An </w:t>
      </w:r>
      <w:r w:rsidR="00EC03CC" w:rsidRPr="00E54478">
        <w:t>a</w:t>
      </w:r>
      <w:r w:rsidRPr="00E54478">
        <w:t xml:space="preserve">uthorized </w:t>
      </w:r>
      <w:r w:rsidR="00EC03CC" w:rsidRPr="00E54478">
        <w:t>o</w:t>
      </w:r>
      <w:r w:rsidRPr="00E54478">
        <w:t xml:space="preserve">fficial within the TDA-GO system must assign the </w:t>
      </w:r>
      <w:r w:rsidR="00620949" w:rsidRPr="00E54478">
        <w:t xml:space="preserve">payment processor </w:t>
      </w:r>
      <w:r w:rsidR="00B07B2F" w:rsidRPr="00E54478">
        <w:t xml:space="preserve">or project director </w:t>
      </w:r>
      <w:r w:rsidRPr="00E54478">
        <w:t>role to each of these individuals</w:t>
      </w:r>
      <w:r w:rsidR="00B07B2F" w:rsidRPr="00E54478">
        <w:t xml:space="preserve"> for each grant.  A minimum of two </w:t>
      </w:r>
      <w:proofErr w:type="gramStart"/>
      <w:r w:rsidR="00B07B2F" w:rsidRPr="00E54478">
        <w:t>persons</w:t>
      </w:r>
      <w:proofErr w:type="gramEnd"/>
      <w:r w:rsidR="00B07B2F" w:rsidRPr="00E54478">
        <w:t xml:space="preserve"> authorized to approve payments is required.</w:t>
      </w:r>
    </w:p>
    <w:p w14:paraId="66919C4E" w14:textId="5C6B4568" w:rsidR="004F1C54" w:rsidRDefault="005C6E97" w:rsidP="00E54478">
      <w:pPr>
        <w:pStyle w:val="2Bulletedlist-Arial11"/>
        <w:spacing w:line="240" w:lineRule="auto"/>
      </w:pPr>
      <w:r w:rsidRPr="00FF1669">
        <w:t xml:space="preserve">The </w:t>
      </w:r>
      <w:r>
        <w:t xml:space="preserve">TDA-GO roles </w:t>
      </w:r>
      <w:r w:rsidRPr="00FF1669">
        <w:t xml:space="preserve">and/or resolution must be updated </w:t>
      </w:r>
      <w:r w:rsidR="001D71C1">
        <w:t>when</w:t>
      </w:r>
      <w:r w:rsidRPr="00FF1669">
        <w:t xml:space="preserve"> a </w:t>
      </w:r>
      <w:r w:rsidR="000051EB">
        <w:t>p</w:t>
      </w:r>
      <w:r>
        <w:t xml:space="preserve">ayment </w:t>
      </w:r>
      <w:r w:rsidR="000051EB">
        <w:t>p</w:t>
      </w:r>
      <w:r>
        <w:t>rocessor</w:t>
      </w:r>
      <w:r w:rsidRPr="00FF1669">
        <w:t xml:space="preserve"> changes </w:t>
      </w:r>
      <w:r>
        <w:t xml:space="preserve">due to </w:t>
      </w:r>
      <w:r w:rsidRPr="00FF1669">
        <w:t>elections, illness, resignations, etc</w:t>
      </w:r>
      <w:r w:rsidR="001207F3">
        <w:t xml:space="preserve">., see </w:t>
      </w:r>
      <w:r w:rsidR="00C847CF">
        <w:rPr>
          <w:i/>
          <w:iCs/>
        </w:rPr>
        <w:t>Authorized Signatories</w:t>
      </w:r>
      <w:r w:rsidR="00DC1952">
        <w:t xml:space="preserve"> </w:t>
      </w:r>
      <w:r w:rsidR="001207F3" w:rsidRPr="002401B7">
        <w:rPr>
          <w:b/>
          <w:bCs/>
          <w:i/>
          <w:iCs/>
        </w:rPr>
        <w:t>(</w:t>
      </w:r>
      <w:r w:rsidR="00C847CF" w:rsidRPr="002401B7">
        <w:rPr>
          <w:b/>
          <w:bCs/>
        </w:rPr>
        <w:t>Form A100</w:t>
      </w:r>
      <w:r w:rsidR="001207F3" w:rsidRPr="002401B7">
        <w:rPr>
          <w:b/>
          <w:bCs/>
        </w:rPr>
        <w:t>)</w:t>
      </w:r>
      <w:r w:rsidR="000051EB" w:rsidRPr="002401B7">
        <w:t>.</w:t>
      </w:r>
      <w:r w:rsidR="00DC1952">
        <w:t xml:space="preserve"> </w:t>
      </w:r>
    </w:p>
    <w:p w14:paraId="55BAE3F0" w14:textId="77777777" w:rsidR="00837C1E" w:rsidRPr="002401B7" w:rsidRDefault="00837C1E" w:rsidP="00E54478"/>
    <w:p w14:paraId="16AEA9A2" w14:textId="04E388A8" w:rsidR="005C6E97" w:rsidRDefault="00837C1E" w:rsidP="00E54478">
      <w:pPr>
        <w:pStyle w:val="2Bulletedlist-Arial11"/>
        <w:numPr>
          <w:ilvl w:val="0"/>
          <w:numId w:val="0"/>
        </w:numPr>
        <w:spacing w:line="240" w:lineRule="auto"/>
      </w:pPr>
      <w:r>
        <w:rPr>
          <w:b/>
          <w:bCs/>
          <w:color w:val="000000" w:themeColor="text1"/>
        </w:rPr>
        <w:t>B</w:t>
      </w:r>
      <w:r w:rsidR="004F1C54" w:rsidRPr="002401B7">
        <w:rPr>
          <w:b/>
          <w:bCs/>
          <w:color w:val="000000" w:themeColor="text1"/>
        </w:rPr>
        <w:t>EST PRACTICE</w:t>
      </w:r>
      <w:r w:rsidR="004F1C54">
        <w:rPr>
          <w:color w:val="000000" w:themeColor="text1"/>
        </w:rPr>
        <w:t xml:space="preserve">: </w:t>
      </w:r>
      <w:r w:rsidR="00620949">
        <w:rPr>
          <w:color w:val="000000" w:themeColor="text1"/>
        </w:rPr>
        <w:t>I</w:t>
      </w:r>
      <w:r w:rsidR="000A04DF" w:rsidRPr="000A04DF">
        <w:rPr>
          <w:color w:val="000000" w:themeColor="text1"/>
        </w:rPr>
        <w:t xml:space="preserve">dentify persons </w:t>
      </w:r>
      <w:r w:rsidR="004F1C54">
        <w:rPr>
          <w:color w:val="000000" w:themeColor="text1"/>
        </w:rPr>
        <w:t xml:space="preserve">in the resolution by </w:t>
      </w:r>
      <w:r w:rsidR="000A04DF" w:rsidRPr="000A04DF">
        <w:t>position title instead of by name</w:t>
      </w:r>
      <w:r w:rsidR="000A04DF">
        <w:t>.</w:t>
      </w:r>
    </w:p>
    <w:p w14:paraId="53337226" w14:textId="77777777" w:rsidR="00DD0896" w:rsidRDefault="00DD0896" w:rsidP="00E54478"/>
    <w:p w14:paraId="2D592376" w14:textId="1EFA16BD" w:rsidR="00CA015D" w:rsidRDefault="00BC401C" w:rsidP="00E54478">
      <w:pPr>
        <w:pStyle w:val="Heading2"/>
      </w:pPr>
      <w:bookmarkStart w:id="37" w:name="_Toc46134388"/>
      <w:bookmarkStart w:id="38" w:name="_Toc123110525"/>
      <w:bookmarkStart w:id="39" w:name="_Toc123198154"/>
      <w:bookmarkStart w:id="40" w:name="_Toc123198389"/>
      <w:bookmarkStart w:id="41" w:name="_Toc171781485"/>
      <w:r>
        <w:t>2.1.</w:t>
      </w:r>
      <w:r w:rsidR="00702EBA">
        <w:t>4</w:t>
      </w:r>
      <w:r>
        <w:t xml:space="preserve"> </w:t>
      </w:r>
      <w:bookmarkEnd w:id="37"/>
      <w:r w:rsidR="00CC6791">
        <w:t>Establish Grant Account with TDA</w:t>
      </w:r>
      <w:bookmarkEnd w:id="38"/>
      <w:bookmarkEnd w:id="39"/>
      <w:bookmarkEnd w:id="40"/>
      <w:bookmarkEnd w:id="41"/>
    </w:p>
    <w:p w14:paraId="64C49B20" w14:textId="77777777" w:rsidR="00DC1952" w:rsidRDefault="00DC1952" w:rsidP="00E54478"/>
    <w:p w14:paraId="553947F7" w14:textId="291E1374" w:rsidR="002E18F0" w:rsidRDefault="00DC1952" w:rsidP="00E54478">
      <w:r>
        <w:t>As part of the grant</w:t>
      </w:r>
      <w:r w:rsidR="002E18F0" w:rsidRPr="005A1F9A">
        <w:t xml:space="preserve"> </w:t>
      </w:r>
      <w:r>
        <w:t>award process, TDA mu</w:t>
      </w:r>
      <w:r w:rsidR="00CC6791">
        <w:t>s</w:t>
      </w:r>
      <w:r>
        <w:t xml:space="preserve">t establish the account to which grant funds will be disbursed.  </w:t>
      </w:r>
      <w:r w:rsidR="002C070D">
        <w:t xml:space="preserve">The </w:t>
      </w:r>
      <w:r w:rsidR="0080050B">
        <w:t>Grant Agreement</w:t>
      </w:r>
      <w:r w:rsidR="00590EAB">
        <w:t xml:space="preserve"> </w:t>
      </w:r>
      <w:r w:rsidR="002C070D">
        <w:t>may be withheld</w:t>
      </w:r>
      <w:r>
        <w:t xml:space="preserve"> </w:t>
      </w:r>
      <w:r w:rsidR="009817D0">
        <w:t>from execution</w:t>
      </w:r>
      <w:r w:rsidR="0078604B">
        <w:t xml:space="preserve"> </w:t>
      </w:r>
      <w:r>
        <w:t xml:space="preserve">until </w:t>
      </w:r>
      <w:r w:rsidR="00C70746">
        <w:t xml:space="preserve">the following </w:t>
      </w:r>
      <w:r>
        <w:t>information is received</w:t>
      </w:r>
      <w:r w:rsidR="006B1456">
        <w:t>:</w:t>
      </w:r>
    </w:p>
    <w:p w14:paraId="52AC701B" w14:textId="5A5F13F4" w:rsidR="00246FD3" w:rsidRDefault="00294BD8" w:rsidP="00E54478">
      <w:pPr>
        <w:pStyle w:val="2Bulletedlist-Arial11"/>
        <w:spacing w:line="240" w:lineRule="auto"/>
      </w:pPr>
      <w:r>
        <w:t xml:space="preserve">Federal </w:t>
      </w:r>
      <w:r w:rsidR="00246FD3">
        <w:t xml:space="preserve">Request for </w:t>
      </w:r>
      <w:r w:rsidR="00246FD3" w:rsidRPr="00EC03CC">
        <w:rPr>
          <w:i/>
          <w:iCs/>
        </w:rPr>
        <w:t>Taxpayer Identification Number</w:t>
      </w:r>
      <w:r w:rsidR="00246FD3">
        <w:t xml:space="preserve"> </w:t>
      </w:r>
      <w:r w:rsidR="003A0C27">
        <w:t xml:space="preserve">(TIN) </w:t>
      </w:r>
      <w:r w:rsidR="00246FD3" w:rsidRPr="002401B7">
        <w:t>(Form W9)</w:t>
      </w:r>
      <w:r w:rsidR="00A64449">
        <w:t xml:space="preserve"> – </w:t>
      </w:r>
      <w:r w:rsidR="00246FD3">
        <w:t>All Grant Recipients must have an updated federal W9 on file.</w:t>
      </w:r>
      <w:r w:rsidR="00246FD3" w:rsidRPr="00246FD3">
        <w:t xml:space="preserve"> </w:t>
      </w:r>
    </w:p>
    <w:p w14:paraId="3C2390F3" w14:textId="3CA0524C" w:rsidR="00DC1952" w:rsidRDefault="00294BD8" w:rsidP="00E54478">
      <w:pPr>
        <w:pStyle w:val="2Bulletedlist-Arial11"/>
        <w:spacing w:line="240" w:lineRule="auto"/>
      </w:pPr>
      <w:r>
        <w:t xml:space="preserve">State </w:t>
      </w:r>
      <w:r w:rsidR="00DC1952">
        <w:t xml:space="preserve">Application for </w:t>
      </w:r>
      <w:r w:rsidR="00246FD3">
        <w:t>TIN</w:t>
      </w:r>
      <w:r w:rsidR="003E127A">
        <w:t xml:space="preserve"> – </w:t>
      </w:r>
      <w:r w:rsidR="00EC03CC">
        <w:t>P</w:t>
      </w:r>
      <w:r w:rsidR="00246FD3">
        <w:t xml:space="preserve">rovided by the Texas Comptroller of Public Accounts, a new or updated TIN form is required for each grant award. </w:t>
      </w:r>
    </w:p>
    <w:p w14:paraId="273EA557" w14:textId="781F382F" w:rsidR="00E45470" w:rsidRDefault="00E45470" w:rsidP="00E54478"/>
    <w:p w14:paraId="60BB6C0B" w14:textId="3C8FCA82" w:rsidR="00E45470" w:rsidRDefault="00E45470" w:rsidP="00E54478">
      <w:r>
        <w:t xml:space="preserve">Upload current W9 and TINS forms to the Grant Recipient’s TDA-GO </w:t>
      </w:r>
      <w:r w:rsidRPr="00E54478">
        <w:rPr>
          <w:i/>
          <w:iCs/>
        </w:rPr>
        <w:t xml:space="preserve">Organization </w:t>
      </w:r>
      <w:r w:rsidR="00E54478" w:rsidRPr="00E54478">
        <w:rPr>
          <w:i/>
          <w:iCs/>
        </w:rPr>
        <w:t>Information</w:t>
      </w:r>
      <w:r>
        <w:t xml:space="preserve"> page to avoid repeated submissions if the Grant Recipient receives multiple grants.</w:t>
      </w:r>
    </w:p>
    <w:p w14:paraId="374A5FD5" w14:textId="7EA033CA" w:rsidR="00246FD3" w:rsidRPr="00220C53" w:rsidRDefault="00246FD3" w:rsidP="00E54478">
      <w:pPr>
        <w:pStyle w:val="2Bulletedlist-Arial11"/>
        <w:spacing w:line="240" w:lineRule="auto"/>
      </w:pPr>
      <w:r w:rsidRPr="00EC03CC">
        <w:rPr>
          <w:i/>
          <w:iCs/>
        </w:rPr>
        <w:t>Direct Deposit Authorization Form</w:t>
      </w:r>
      <w:r>
        <w:t xml:space="preserve"> </w:t>
      </w:r>
      <w:r w:rsidRPr="002401B7">
        <w:t>(Form 74-176)</w:t>
      </w:r>
      <w:r w:rsidR="00A64449">
        <w:t xml:space="preserve"> – </w:t>
      </w:r>
      <w:r w:rsidR="00EC03CC">
        <w:t>P</w:t>
      </w:r>
      <w:r>
        <w:t xml:space="preserve">rovided by the Texas Comptroller of Public </w:t>
      </w:r>
      <w:r w:rsidRPr="00220C53">
        <w:t>Accounts, a separate 74-176</w:t>
      </w:r>
      <w:r w:rsidR="00EC03CC" w:rsidRPr="00220C53">
        <w:t xml:space="preserve"> form</w:t>
      </w:r>
      <w:r w:rsidRPr="00220C53">
        <w:t xml:space="preserve"> must be completed for each grant award.  </w:t>
      </w:r>
    </w:p>
    <w:p w14:paraId="3F051C3F" w14:textId="77777777" w:rsidR="00B6493D" w:rsidRDefault="00246FD3" w:rsidP="00E54478">
      <w:pPr>
        <w:pStyle w:val="2Bulletedlist-Arial11"/>
        <w:numPr>
          <w:ilvl w:val="1"/>
          <w:numId w:val="27"/>
        </w:numPr>
        <w:spacing w:line="240" w:lineRule="auto"/>
        <w:ind w:left="1080"/>
      </w:pPr>
      <w:r w:rsidRPr="00220C53">
        <w:t xml:space="preserve">TDA does NOT currently request unredacted bank account information to be submitted within TDA-GO. </w:t>
      </w:r>
    </w:p>
    <w:p w14:paraId="2DDD2BE7" w14:textId="657A4AB4" w:rsidR="00B6493D" w:rsidRPr="002E66C3" w:rsidRDefault="00A06E96" w:rsidP="00E54478">
      <w:pPr>
        <w:pStyle w:val="2Bulletedlist-Arial11"/>
        <w:numPr>
          <w:ilvl w:val="1"/>
          <w:numId w:val="27"/>
        </w:numPr>
        <w:spacing w:line="240" w:lineRule="auto"/>
        <w:ind w:left="1080"/>
        <w:rPr>
          <w:color w:val="365F91" w:themeColor="accent1" w:themeShade="BF"/>
        </w:rPr>
      </w:pPr>
      <w:r w:rsidRPr="002E66C3">
        <w:rPr>
          <w:color w:val="365F91" w:themeColor="accent1" w:themeShade="BF"/>
        </w:rPr>
        <w:t xml:space="preserve">The direct deposit must be uploaded to the </w:t>
      </w:r>
      <w:r w:rsidRPr="002E66C3">
        <w:rPr>
          <w:i/>
          <w:iCs/>
          <w:color w:val="365F91" w:themeColor="accent1" w:themeShade="BF"/>
        </w:rPr>
        <w:t>Financial Management System Self-Assessment</w:t>
      </w:r>
      <w:r w:rsidRPr="002E66C3">
        <w:rPr>
          <w:color w:val="365F91" w:themeColor="accent1" w:themeShade="BF"/>
        </w:rPr>
        <w:t xml:space="preserve"> (FMS) prior to </w:t>
      </w:r>
      <w:r w:rsidR="00D550CF" w:rsidRPr="002E66C3">
        <w:rPr>
          <w:color w:val="365F91" w:themeColor="accent1" w:themeShade="BF"/>
        </w:rPr>
        <w:t>release</w:t>
      </w:r>
      <w:r w:rsidRPr="002E66C3">
        <w:rPr>
          <w:color w:val="365F91" w:themeColor="accent1" w:themeShade="BF"/>
        </w:rPr>
        <w:t xml:space="preserve"> of the Grant Agreement. </w:t>
      </w:r>
      <w:r w:rsidR="00D550CF" w:rsidRPr="002E66C3">
        <w:rPr>
          <w:color w:val="365F91" w:themeColor="accent1" w:themeShade="BF"/>
        </w:rPr>
        <w:t xml:space="preserve">Refer to the applicable Application Guide for additional information about the FMS. </w:t>
      </w:r>
    </w:p>
    <w:p w14:paraId="3057C2B2" w14:textId="31EC29DF" w:rsidR="00246FD3" w:rsidRPr="002E66C3" w:rsidRDefault="00A06E96" w:rsidP="00E54478">
      <w:pPr>
        <w:pStyle w:val="2Bulletedlist-Arial11"/>
        <w:numPr>
          <w:ilvl w:val="1"/>
          <w:numId w:val="27"/>
        </w:numPr>
        <w:spacing w:line="240" w:lineRule="auto"/>
        <w:ind w:left="1080"/>
        <w:rPr>
          <w:color w:val="365F91" w:themeColor="accent1" w:themeShade="BF"/>
        </w:rPr>
      </w:pPr>
      <w:r w:rsidRPr="002E66C3">
        <w:rPr>
          <w:color w:val="365F91" w:themeColor="accent1" w:themeShade="BF"/>
        </w:rPr>
        <w:t>If updates are needed to the direct deposit on file at any time during the grant period</w:t>
      </w:r>
      <w:r w:rsidR="00620949" w:rsidRPr="002E66C3">
        <w:rPr>
          <w:color w:val="365F91" w:themeColor="accent1" w:themeShade="BF"/>
        </w:rPr>
        <w:t>, e</w:t>
      </w:r>
      <w:r w:rsidR="00E8322E" w:rsidRPr="002E66C3">
        <w:rPr>
          <w:color w:val="365F91" w:themeColor="accent1" w:themeShade="BF"/>
        </w:rPr>
        <w:t xml:space="preserve">mail a </w:t>
      </w:r>
      <w:r w:rsidR="00B6493D" w:rsidRPr="002E66C3">
        <w:rPr>
          <w:color w:val="365F91" w:themeColor="accent1" w:themeShade="BF"/>
        </w:rPr>
        <w:t xml:space="preserve">newly </w:t>
      </w:r>
      <w:r w:rsidR="00E8322E" w:rsidRPr="002E66C3">
        <w:rPr>
          <w:color w:val="365F91" w:themeColor="accent1" w:themeShade="BF"/>
        </w:rPr>
        <w:t xml:space="preserve">completed form for each TxCDBG grant to </w:t>
      </w:r>
      <w:hyperlink r:id="rId11" w:history="1">
        <w:r w:rsidR="00E8322E" w:rsidRPr="002E66C3">
          <w:rPr>
            <w:rStyle w:val="Hyperlink"/>
            <w:color w:val="365F91" w:themeColor="accent1" w:themeShade="BF"/>
          </w:rPr>
          <w:t>CDBGReporting@TexasAgriculture.gov</w:t>
        </w:r>
      </w:hyperlink>
      <w:r w:rsidR="00B6493D" w:rsidRPr="002E66C3">
        <w:rPr>
          <w:rStyle w:val="Hyperlink"/>
          <w:color w:val="365F91" w:themeColor="accent1" w:themeShade="BF"/>
        </w:rPr>
        <w:t>.</w:t>
      </w:r>
    </w:p>
    <w:p w14:paraId="51FBDF91" w14:textId="5EEB0814" w:rsidR="00246FD3" w:rsidRDefault="00246FD3" w:rsidP="00E54478">
      <w:pPr>
        <w:pStyle w:val="2Bulletedlist-Arial11"/>
        <w:numPr>
          <w:ilvl w:val="1"/>
          <w:numId w:val="27"/>
        </w:numPr>
        <w:spacing w:line="240" w:lineRule="auto"/>
        <w:ind w:left="1080"/>
      </w:pPr>
      <w:r>
        <w:t xml:space="preserve">The </w:t>
      </w:r>
      <w:r w:rsidRPr="00F34365">
        <w:t>Grant Recipient is strongly encouraged</w:t>
      </w:r>
      <w:r>
        <w:t xml:space="preserve"> to </w:t>
      </w:r>
      <w:r w:rsidR="00A44179" w:rsidRPr="00F34365">
        <w:t xml:space="preserve">receive payments from </w:t>
      </w:r>
      <w:r w:rsidR="00A44179">
        <w:t>TDA</w:t>
      </w:r>
      <w:r w:rsidR="00A44179" w:rsidRPr="00F34365">
        <w:t xml:space="preserve"> posted directly to the local </w:t>
      </w:r>
      <w:r w:rsidR="00A44179" w:rsidRPr="00AE55BF">
        <w:t>bank account</w:t>
      </w:r>
      <w:r w:rsidR="00A44179">
        <w:t>.</w:t>
      </w:r>
      <w:r w:rsidR="001D71C1" w:rsidRPr="001D71C1">
        <w:t xml:space="preserve"> </w:t>
      </w:r>
      <w:r w:rsidR="001D71C1">
        <w:t xml:space="preserve">Grant payments released after the form is submitted and processed will be deposited using this </w:t>
      </w:r>
      <w:r w:rsidR="00E54478">
        <w:t>method but</w:t>
      </w:r>
      <w:r w:rsidR="00C70746">
        <w:t xml:space="preserve"> may take up to </w:t>
      </w:r>
      <w:r w:rsidR="00AF7278">
        <w:t>thirty (</w:t>
      </w:r>
      <w:r w:rsidR="001D71C1">
        <w:t>30</w:t>
      </w:r>
      <w:r w:rsidR="00AF7278">
        <w:t>)</w:t>
      </w:r>
      <w:r w:rsidR="001D71C1">
        <w:t xml:space="preserve"> days </w:t>
      </w:r>
      <w:proofErr w:type="gramStart"/>
      <w:r w:rsidR="001D71C1">
        <w:t>for processing</w:t>
      </w:r>
      <w:proofErr w:type="gramEnd"/>
      <w:r w:rsidR="001D71C1">
        <w:t>.</w:t>
      </w:r>
    </w:p>
    <w:p w14:paraId="2A766B19" w14:textId="07C65B18" w:rsidR="00A44179" w:rsidRDefault="00EC03CC" w:rsidP="00E54478">
      <w:pPr>
        <w:pStyle w:val="2Bulletedlist-Arial11"/>
        <w:numPr>
          <w:ilvl w:val="1"/>
          <w:numId w:val="27"/>
        </w:numPr>
        <w:spacing w:line="240" w:lineRule="auto"/>
        <w:ind w:left="1080"/>
      </w:pPr>
      <w:r>
        <w:t>If t</w:t>
      </w:r>
      <w:r w:rsidR="00A44179">
        <w:t xml:space="preserve">he Grant Recipient declines to participate in direct deposit options, manually strike through Sections 3, 4, and 6 of the form and write in </w:t>
      </w:r>
      <w:r w:rsidR="00A44179" w:rsidRPr="00B54052">
        <w:rPr>
          <w:b/>
          <w:bCs/>
        </w:rPr>
        <w:t>Warrant</w:t>
      </w:r>
      <w:r w:rsidR="00A44179">
        <w:t xml:space="preserve"> </w:t>
      </w:r>
      <w:r w:rsidR="00A44179" w:rsidRPr="00B54052">
        <w:rPr>
          <w:b/>
          <w:bCs/>
        </w:rPr>
        <w:t>Requested</w:t>
      </w:r>
      <w:r w:rsidR="00A44179">
        <w:t>.</w:t>
      </w:r>
    </w:p>
    <w:p w14:paraId="2D116F53" w14:textId="77777777" w:rsidR="001207F3" w:rsidRDefault="001207F3" w:rsidP="00E54478">
      <w:bookmarkStart w:id="42" w:name="_Toc504554658"/>
      <w:bookmarkStart w:id="43" w:name="_Toc7269259"/>
      <w:bookmarkStart w:id="44" w:name="_Toc38100384"/>
    </w:p>
    <w:p w14:paraId="7C3B6812" w14:textId="77777777" w:rsidR="002E66C3" w:rsidRDefault="002E66C3" w:rsidP="00E54478"/>
    <w:p w14:paraId="38A93323" w14:textId="77777777" w:rsidR="002E66C3" w:rsidRDefault="002E66C3" w:rsidP="00E54478"/>
    <w:p w14:paraId="131DC9E9" w14:textId="77777777" w:rsidR="002E66C3" w:rsidRDefault="002E66C3" w:rsidP="00E54478"/>
    <w:p w14:paraId="25B14C7D" w14:textId="19494EC6" w:rsidR="00A11A4F" w:rsidRDefault="00A11A4F" w:rsidP="00E54478">
      <w:pPr>
        <w:pStyle w:val="Heading2"/>
        <w:tabs>
          <w:tab w:val="left" w:pos="3060"/>
        </w:tabs>
        <w:ind w:right="-144"/>
      </w:pPr>
      <w:bookmarkStart w:id="45" w:name="_Toc123110526"/>
      <w:bookmarkStart w:id="46" w:name="_Toc123198155"/>
      <w:bookmarkStart w:id="47" w:name="_Toc123198390"/>
      <w:bookmarkStart w:id="48" w:name="_Toc171781486"/>
      <w:r>
        <w:t>2.1.</w:t>
      </w:r>
      <w:r w:rsidR="00702EBA">
        <w:t>5</w:t>
      </w:r>
      <w:r>
        <w:t xml:space="preserve"> </w:t>
      </w:r>
      <w:r w:rsidR="0080050B">
        <w:t>Grant Agreement</w:t>
      </w:r>
      <w:r w:rsidR="00AF7278">
        <w:t xml:space="preserve"> </w:t>
      </w:r>
      <w:r w:rsidR="00575BD7">
        <w:t>Detail</w:t>
      </w:r>
      <w:r w:rsidR="00A44632">
        <w:t>ed</w:t>
      </w:r>
      <w:r w:rsidR="00575BD7">
        <w:t xml:space="preserve"> </w:t>
      </w:r>
      <w:r>
        <w:t xml:space="preserve">Budget </w:t>
      </w:r>
      <w:r w:rsidR="00575BD7">
        <w:t xml:space="preserve">Summary </w:t>
      </w:r>
      <w:r w:rsidR="00A44632">
        <w:t>T</w:t>
      </w:r>
      <w:r w:rsidR="00575BD7">
        <w:t>abl</w:t>
      </w:r>
      <w:r w:rsidR="00BC1A19">
        <w:t>e</w:t>
      </w:r>
      <w:bookmarkEnd w:id="45"/>
      <w:bookmarkEnd w:id="46"/>
      <w:bookmarkEnd w:id="47"/>
      <w:bookmarkEnd w:id="48"/>
    </w:p>
    <w:p w14:paraId="5332A1A2" w14:textId="4692FBF9" w:rsidR="00A11A4F" w:rsidRPr="00CC6791" w:rsidRDefault="00A11A4F" w:rsidP="00E54478"/>
    <w:p w14:paraId="23717B61" w14:textId="3B8217D7" w:rsidR="005A5E8E" w:rsidRPr="00CE1B34" w:rsidRDefault="00E41191" w:rsidP="0049576E">
      <w:r w:rsidRPr="00CE1B34">
        <w:t xml:space="preserve">Exhibit B </w:t>
      </w:r>
      <w:r>
        <w:t>of t</w:t>
      </w:r>
      <w:r w:rsidR="00575BD7" w:rsidRPr="00CE1B34">
        <w:t xml:space="preserve">he </w:t>
      </w:r>
      <w:r w:rsidR="00AF7278">
        <w:t>G</w:t>
      </w:r>
      <w:r w:rsidR="00575BD7" w:rsidRPr="00CE1B34">
        <w:t xml:space="preserve">rant </w:t>
      </w:r>
      <w:r w:rsidR="00AF7278">
        <w:t>A</w:t>
      </w:r>
      <w:r w:rsidR="00BA43D3" w:rsidRPr="00CE1B34">
        <w:t xml:space="preserve">greement </w:t>
      </w:r>
      <w:r w:rsidR="00575BD7" w:rsidRPr="00CE1B34">
        <w:t xml:space="preserve">contains </w:t>
      </w:r>
      <w:r w:rsidR="00C70746">
        <w:t>the</w:t>
      </w:r>
      <w:r w:rsidR="00575BD7" w:rsidRPr="00CE1B34">
        <w:t xml:space="preserve"> basic project budget to which the Grant Recipient must adhere</w:t>
      </w:r>
      <w:r>
        <w:t>,</w:t>
      </w:r>
      <w:r w:rsidR="00575BD7" w:rsidRPr="00CE1B34">
        <w:t xml:space="preserve"> specific grant funded activities with their associated budgets, </w:t>
      </w:r>
      <w:r>
        <w:t>and</w:t>
      </w:r>
      <w:r w:rsidR="00575BD7" w:rsidRPr="00CE1B34">
        <w:t xml:space="preserve"> the total amount of funds committed as </w:t>
      </w:r>
      <w:proofErr w:type="gramStart"/>
      <w:r w:rsidR="00575BD7" w:rsidRPr="00CE1B34">
        <w:t>match</w:t>
      </w:r>
      <w:proofErr w:type="gramEnd"/>
      <w:r w:rsidR="00575BD7" w:rsidRPr="00CE1B34">
        <w:t>.</w:t>
      </w:r>
      <w:r w:rsidR="00EC03CC" w:rsidRPr="00CE1B34">
        <w:t xml:space="preserve"> </w:t>
      </w:r>
    </w:p>
    <w:p w14:paraId="6E9ED486" w14:textId="77777777" w:rsidR="005A5E8E" w:rsidRDefault="005A5E8E" w:rsidP="00E54478"/>
    <w:p w14:paraId="3996183F" w14:textId="5392AB22" w:rsidR="005A5E8E" w:rsidRPr="00E55298" w:rsidRDefault="00E55298" w:rsidP="0049576E">
      <w:r>
        <w:t>T</w:t>
      </w:r>
      <w:r w:rsidR="005A5E8E" w:rsidRPr="00EC03CC">
        <w:t xml:space="preserve">he match commitment is not contractually assigned to specific budget lines, but the Grant Recipient may view the recommended budget lines for matching </w:t>
      </w:r>
      <w:r w:rsidR="005A5E8E" w:rsidRPr="00FA10D5">
        <w:t>funds</w:t>
      </w:r>
      <w:r w:rsidR="00FA10D5">
        <w:t xml:space="preserve"> </w:t>
      </w:r>
      <w:r w:rsidR="005A5E8E" w:rsidRPr="00FA10D5">
        <w:t xml:space="preserve">by navigating to the </w:t>
      </w:r>
      <w:r w:rsidR="007736B0" w:rsidRPr="002401B7">
        <w:rPr>
          <w:i/>
          <w:iCs/>
        </w:rPr>
        <w:t>B</w:t>
      </w:r>
      <w:r w:rsidR="005A5E8E" w:rsidRPr="002401B7">
        <w:rPr>
          <w:i/>
          <w:iCs/>
        </w:rPr>
        <w:t xml:space="preserve">udget </w:t>
      </w:r>
      <w:r w:rsidR="007736B0" w:rsidRPr="002401B7">
        <w:rPr>
          <w:i/>
          <w:iCs/>
        </w:rPr>
        <w:t>D</w:t>
      </w:r>
      <w:r w:rsidR="005A5E8E" w:rsidRPr="002401B7">
        <w:rPr>
          <w:i/>
          <w:iCs/>
        </w:rPr>
        <w:t>etails</w:t>
      </w:r>
      <w:r w:rsidR="005A5E8E" w:rsidRPr="00FA10D5">
        <w:t xml:space="preserve"> page</w:t>
      </w:r>
      <w:r w:rsidR="007736B0">
        <w:t xml:space="preserve"> </w:t>
      </w:r>
      <w:r w:rsidR="00EF0491">
        <w:t xml:space="preserve">of the </w:t>
      </w:r>
      <w:r w:rsidR="00EF0491" w:rsidRPr="00EF0491">
        <w:rPr>
          <w:i/>
          <w:iCs/>
        </w:rPr>
        <w:t>Application</w:t>
      </w:r>
      <w:r w:rsidR="00EF0491">
        <w:t xml:space="preserve"> </w:t>
      </w:r>
      <w:r w:rsidR="007736B0">
        <w:t>in TDA-GO</w:t>
      </w:r>
      <w:r w:rsidR="005A5E8E" w:rsidRPr="00FA10D5">
        <w:t xml:space="preserve">. </w:t>
      </w:r>
    </w:p>
    <w:p w14:paraId="7873875F" w14:textId="22305A96" w:rsidR="001207F3" w:rsidRDefault="001207F3" w:rsidP="00E54478"/>
    <w:p w14:paraId="340FED88" w14:textId="77777777" w:rsidR="001207F3" w:rsidRPr="001207F3" w:rsidRDefault="001207F3" w:rsidP="00E54478"/>
    <w:p w14:paraId="796F4D6A" w14:textId="26E0FEEC" w:rsidR="00556ECB" w:rsidRPr="00260E6C" w:rsidRDefault="00556ECB" w:rsidP="00E54478">
      <w:pPr>
        <w:pStyle w:val="Heading1"/>
      </w:pPr>
      <w:bookmarkStart w:id="49" w:name="_Toc46134389"/>
      <w:bookmarkStart w:id="50" w:name="_Toc123110527"/>
      <w:bookmarkStart w:id="51" w:name="_Toc123198156"/>
      <w:bookmarkStart w:id="52" w:name="_Toc123198391"/>
      <w:bookmarkStart w:id="53" w:name="_Toc171781487"/>
      <w:r w:rsidRPr="00260E6C">
        <w:t xml:space="preserve">2.2 </w:t>
      </w:r>
      <w:r w:rsidR="00A44179">
        <w:t>Thresholds for Fund Disbursement</w:t>
      </w:r>
      <w:bookmarkEnd w:id="49"/>
      <w:bookmarkEnd w:id="50"/>
      <w:bookmarkEnd w:id="51"/>
      <w:bookmarkEnd w:id="52"/>
      <w:bookmarkEnd w:id="53"/>
    </w:p>
    <w:p w14:paraId="3DF9C575" w14:textId="029BC788" w:rsidR="00556ECB" w:rsidRPr="00502B1A" w:rsidRDefault="00556ECB" w:rsidP="00E54478"/>
    <w:p w14:paraId="3218ED5A" w14:textId="251BA5C3" w:rsidR="00556ECB" w:rsidRPr="002A0BB9" w:rsidRDefault="00556ECB" w:rsidP="0049576E">
      <w:r w:rsidRPr="002A0BB9">
        <w:t xml:space="preserve">TDA requires certain documents to be submitted to </w:t>
      </w:r>
      <w:r w:rsidR="00541649" w:rsidRPr="002A0BB9">
        <w:t>TDA</w:t>
      </w:r>
      <w:r w:rsidRPr="002A0BB9">
        <w:t xml:space="preserve"> </w:t>
      </w:r>
      <w:r w:rsidR="009E1233" w:rsidRPr="002A0BB9">
        <w:t>to</w:t>
      </w:r>
      <w:r w:rsidRPr="002A0BB9">
        <w:t xml:space="preserve"> meet required thresholds prior to releasing several categories of </w:t>
      </w:r>
      <w:r w:rsidR="00590EAB" w:rsidRPr="002A0BB9">
        <w:t xml:space="preserve">grant </w:t>
      </w:r>
      <w:r w:rsidRPr="002A0BB9">
        <w:t xml:space="preserve">funds. Additional documentation may be required based on the specific fund category or project description and will be listed in the TxCDBG </w:t>
      </w:r>
      <w:r w:rsidR="0080050B">
        <w:t>Grant Agreement</w:t>
      </w:r>
      <w:r w:rsidRPr="002A0BB9">
        <w:t xml:space="preserve">. </w:t>
      </w:r>
    </w:p>
    <w:p w14:paraId="015652FE" w14:textId="4D89853C" w:rsidR="00556ECB" w:rsidRDefault="00556ECB" w:rsidP="00E54478"/>
    <w:p w14:paraId="66601FE3" w14:textId="0CD3BB2B" w:rsidR="00A11A4F" w:rsidRPr="00990AB2" w:rsidRDefault="002C4110" w:rsidP="0049576E">
      <w:r w:rsidRPr="00990AB2">
        <w:t>General Requirements</w:t>
      </w:r>
      <w:r w:rsidR="009E3E1B">
        <w:t>:</w:t>
      </w:r>
    </w:p>
    <w:p w14:paraId="2F49EFDE" w14:textId="30B2EE40" w:rsidR="00A4793B" w:rsidRDefault="00A4793B" w:rsidP="00E54478">
      <w:pPr>
        <w:pStyle w:val="2Bulletedlist-Arial11"/>
        <w:spacing w:line="240" w:lineRule="auto"/>
        <w:rPr>
          <w:rFonts w:eastAsia="Calibri"/>
        </w:rPr>
      </w:pPr>
      <w:r>
        <w:rPr>
          <w:rFonts w:eastAsia="Calibri"/>
        </w:rPr>
        <w:t xml:space="preserve">Disbursement thresholds describe the period </w:t>
      </w:r>
      <w:r w:rsidR="001207F3">
        <w:rPr>
          <w:rFonts w:eastAsia="Calibri"/>
        </w:rPr>
        <w:t>when</w:t>
      </w:r>
      <w:r>
        <w:rPr>
          <w:rFonts w:eastAsia="Calibri"/>
        </w:rPr>
        <w:t xml:space="preserve"> funds may be requested, but do not prevent the Grant Recipient from continuing to incur costs</w:t>
      </w:r>
      <w:r w:rsidR="00A44632">
        <w:rPr>
          <w:rFonts w:eastAsia="Calibri"/>
        </w:rPr>
        <w:t xml:space="preserve">. </w:t>
      </w:r>
    </w:p>
    <w:p w14:paraId="7A1A0596" w14:textId="0C84C92B" w:rsidR="00A11A4F" w:rsidRPr="00575BD7" w:rsidRDefault="00A4793B" w:rsidP="00E54478">
      <w:pPr>
        <w:pStyle w:val="2Bulletedlist-Arial11"/>
        <w:spacing w:line="240" w:lineRule="auto"/>
        <w:rPr>
          <w:rFonts w:eastAsia="Calibri"/>
        </w:rPr>
      </w:pPr>
      <w:r>
        <w:rPr>
          <w:rFonts w:eastAsia="Calibri"/>
        </w:rPr>
        <w:t>Regardless of any thresholds that may impact disbursement of funds, a</w:t>
      </w:r>
      <w:r w:rsidR="00A11A4F" w:rsidRPr="00A11A4F">
        <w:rPr>
          <w:rFonts w:eastAsia="Calibri"/>
        </w:rPr>
        <w:t xml:space="preserve">ll </w:t>
      </w:r>
      <w:r w:rsidR="00A44632">
        <w:rPr>
          <w:rFonts w:eastAsia="Calibri"/>
        </w:rPr>
        <w:t>c</w:t>
      </w:r>
      <w:r w:rsidR="00A11A4F" w:rsidRPr="00A11A4F">
        <w:rPr>
          <w:rFonts w:eastAsia="Calibri"/>
        </w:rPr>
        <w:t xml:space="preserve">osts </w:t>
      </w:r>
      <w:r w:rsidR="00A44632">
        <w:rPr>
          <w:rFonts w:eastAsia="Calibri"/>
        </w:rPr>
        <w:t>m</w:t>
      </w:r>
      <w:r w:rsidR="00A11A4F" w:rsidRPr="00A11A4F">
        <w:rPr>
          <w:rFonts w:eastAsia="Calibri"/>
        </w:rPr>
        <w:t xml:space="preserve">ust be </w:t>
      </w:r>
      <w:r w:rsidR="00A44632">
        <w:rPr>
          <w:rFonts w:eastAsia="Calibri"/>
        </w:rPr>
        <w:t>i</w:t>
      </w:r>
      <w:r w:rsidR="00A11A4F" w:rsidRPr="00A11A4F">
        <w:rPr>
          <w:rFonts w:eastAsia="Calibri"/>
        </w:rPr>
        <w:t xml:space="preserve">ncurred </w:t>
      </w:r>
      <w:r w:rsidR="00A44632">
        <w:rPr>
          <w:rFonts w:eastAsia="Calibri"/>
        </w:rPr>
        <w:t>w</w:t>
      </w:r>
      <w:r w:rsidR="00A11A4F" w:rsidRPr="00A11A4F">
        <w:rPr>
          <w:rFonts w:eastAsia="Calibri"/>
        </w:rPr>
        <w:t xml:space="preserve">ithin the </w:t>
      </w:r>
      <w:r w:rsidR="00A44632">
        <w:rPr>
          <w:rFonts w:eastAsia="Calibri"/>
        </w:rPr>
        <w:t>agreement</w:t>
      </w:r>
      <w:r w:rsidR="00A11A4F" w:rsidRPr="00A11A4F">
        <w:rPr>
          <w:rFonts w:eastAsia="Calibri"/>
        </w:rPr>
        <w:t xml:space="preserve"> </w:t>
      </w:r>
      <w:r w:rsidR="00A44632">
        <w:rPr>
          <w:rFonts w:eastAsia="Calibri"/>
        </w:rPr>
        <w:t>p</w:t>
      </w:r>
      <w:r w:rsidR="00A11A4F" w:rsidRPr="00A11A4F">
        <w:rPr>
          <w:rFonts w:eastAsia="Calibri"/>
        </w:rPr>
        <w:t xml:space="preserve">eriod, </w:t>
      </w:r>
      <w:r w:rsidR="009E1233" w:rsidRPr="0049576E">
        <w:rPr>
          <w:rFonts w:eastAsia="Calibri"/>
          <w:b/>
          <w:bCs/>
        </w:rPr>
        <w:t>e</w:t>
      </w:r>
      <w:r w:rsidR="00A11A4F" w:rsidRPr="0049576E">
        <w:rPr>
          <w:rFonts w:eastAsia="Calibri"/>
          <w:b/>
          <w:bCs/>
        </w:rPr>
        <w:t>xcept</w:t>
      </w:r>
      <w:r w:rsidR="00A11A4F" w:rsidRPr="00575BD7">
        <w:rPr>
          <w:rFonts w:eastAsia="Calibri"/>
        </w:rPr>
        <w:t>:</w:t>
      </w:r>
    </w:p>
    <w:p w14:paraId="53554EFE" w14:textId="5B6AE0DE" w:rsidR="00A11A4F" w:rsidRPr="0090462A" w:rsidRDefault="00A11A4F" w:rsidP="00E54478">
      <w:pPr>
        <w:pStyle w:val="2Bulletedlist-Arial11"/>
        <w:numPr>
          <w:ilvl w:val="1"/>
          <w:numId w:val="27"/>
        </w:numPr>
        <w:spacing w:line="240" w:lineRule="auto"/>
        <w:ind w:left="1080"/>
      </w:pPr>
      <w:r w:rsidRPr="0090462A">
        <w:t xml:space="preserve">Costs approved under written pre-agreement </w:t>
      </w:r>
      <w:proofErr w:type="gramStart"/>
      <w:r w:rsidRPr="0090462A">
        <w:t>strategy;</w:t>
      </w:r>
      <w:proofErr w:type="gramEnd"/>
    </w:p>
    <w:p w14:paraId="0AC437B9" w14:textId="4DD9C5E4" w:rsidR="00A11A4F" w:rsidRPr="0090462A" w:rsidRDefault="00636F08" w:rsidP="00E54478">
      <w:pPr>
        <w:pStyle w:val="2Bulletedlist-Arial11"/>
        <w:numPr>
          <w:ilvl w:val="1"/>
          <w:numId w:val="27"/>
        </w:numPr>
        <w:spacing w:line="240" w:lineRule="auto"/>
        <w:ind w:left="1080"/>
      </w:pPr>
      <w:r>
        <w:t>Administration</w:t>
      </w:r>
      <w:r w:rsidR="00A11A4F" w:rsidRPr="0090462A">
        <w:t xml:space="preserve"> costs incurred up to </w:t>
      </w:r>
      <w:r w:rsidR="00AF7278">
        <w:t>sixty (</w:t>
      </w:r>
      <w:r w:rsidR="00A11A4F" w:rsidRPr="0090462A">
        <w:t>60</w:t>
      </w:r>
      <w:r w:rsidR="00AF7278">
        <w:t>)</w:t>
      </w:r>
      <w:r w:rsidR="00A11A4F" w:rsidRPr="0090462A">
        <w:t xml:space="preserve"> days after the </w:t>
      </w:r>
      <w:r w:rsidR="0080050B">
        <w:t>Grant Agreement</w:t>
      </w:r>
      <w:r w:rsidR="00590EAB" w:rsidRPr="0090462A">
        <w:t xml:space="preserve"> </w:t>
      </w:r>
      <w:r w:rsidR="00A11A4F" w:rsidRPr="0090462A">
        <w:t>end date; or</w:t>
      </w:r>
    </w:p>
    <w:p w14:paraId="6B06ACA4" w14:textId="3B417E77" w:rsidR="00A11A4F" w:rsidRDefault="00636F08" w:rsidP="00E54478">
      <w:pPr>
        <w:pStyle w:val="2Bulletedlist-Arial11"/>
        <w:numPr>
          <w:ilvl w:val="1"/>
          <w:numId w:val="27"/>
        </w:numPr>
        <w:spacing w:line="240" w:lineRule="auto"/>
        <w:ind w:left="1080"/>
      </w:pPr>
      <w:r>
        <w:t>Administration</w:t>
      </w:r>
      <w:r w:rsidR="00A11A4F" w:rsidRPr="0090462A">
        <w:t xml:space="preserve"> costs for preparation of a </w:t>
      </w:r>
      <w:r w:rsidR="00A11A4F">
        <w:t>s</w:t>
      </w:r>
      <w:r w:rsidR="00A11A4F" w:rsidRPr="0090462A">
        <w:t xml:space="preserve">ingle </w:t>
      </w:r>
      <w:r w:rsidR="00A11A4F">
        <w:t>a</w:t>
      </w:r>
      <w:r w:rsidR="00A11A4F" w:rsidRPr="0090462A">
        <w:t xml:space="preserve">udit, </w:t>
      </w:r>
      <w:r w:rsidR="003A0C27">
        <w:t xml:space="preserve">see </w:t>
      </w:r>
      <w:r w:rsidR="00A11A4F" w:rsidRPr="00022469">
        <w:rPr>
          <w:i/>
          <w:iCs/>
        </w:rPr>
        <w:t>Chapter 12</w:t>
      </w:r>
      <w:r w:rsidR="001207F3">
        <w:rPr>
          <w:i/>
          <w:iCs/>
        </w:rPr>
        <w:t xml:space="preserve"> Grant Closeout</w:t>
      </w:r>
      <w:r w:rsidR="00A11A4F" w:rsidRPr="0090462A">
        <w:t>.</w:t>
      </w:r>
    </w:p>
    <w:p w14:paraId="3B7D4086" w14:textId="79C5190B" w:rsidR="000D3356" w:rsidRPr="00301C0F" w:rsidRDefault="009522C1" w:rsidP="00E54478">
      <w:pPr>
        <w:pStyle w:val="2Bulletedlist-Arial11"/>
        <w:spacing w:line="240" w:lineRule="auto"/>
        <w:ind w:right="126"/>
        <w:rPr>
          <w:color w:val="000000" w:themeColor="text1"/>
        </w:rPr>
      </w:pPr>
      <w:r w:rsidRPr="00CA52CA">
        <w:t>All requested documents must be uploaded directly to TDA-</w:t>
      </w:r>
      <w:r w:rsidRPr="002965B9">
        <w:rPr>
          <w:color w:val="000000" w:themeColor="text1"/>
        </w:rPr>
        <w:t>GO</w:t>
      </w:r>
      <w:r w:rsidR="00FA1158" w:rsidRPr="002965B9">
        <w:rPr>
          <w:color w:val="000000" w:themeColor="text1"/>
        </w:rPr>
        <w:t xml:space="preserve"> and approved</w:t>
      </w:r>
      <w:r w:rsidR="002965B9" w:rsidRPr="002965B9">
        <w:rPr>
          <w:color w:val="000000" w:themeColor="text1"/>
        </w:rPr>
        <w:t xml:space="preserve"> by TDA</w:t>
      </w:r>
      <w:r w:rsidR="0049576E">
        <w:rPr>
          <w:color w:val="000000" w:themeColor="text1"/>
        </w:rPr>
        <w:t xml:space="preserve"> staff</w:t>
      </w:r>
      <w:r w:rsidR="000A2061" w:rsidRPr="002965B9">
        <w:rPr>
          <w:color w:val="000000" w:themeColor="text1"/>
        </w:rPr>
        <w:t xml:space="preserve">. </w:t>
      </w:r>
      <w:r w:rsidR="000A2061" w:rsidRPr="00CA52CA">
        <w:t>D</w:t>
      </w:r>
      <w:r w:rsidRPr="00CA52CA">
        <w:t xml:space="preserve">ocuments will not be </w:t>
      </w:r>
      <w:r w:rsidRPr="00301C0F">
        <w:rPr>
          <w:color w:val="000000" w:themeColor="text1"/>
        </w:rPr>
        <w:t xml:space="preserve">accepted by email or </w:t>
      </w:r>
      <w:r w:rsidR="004F1C54">
        <w:rPr>
          <w:color w:val="000000" w:themeColor="text1"/>
        </w:rPr>
        <w:t xml:space="preserve">any </w:t>
      </w:r>
      <w:r w:rsidRPr="00301C0F">
        <w:rPr>
          <w:color w:val="000000" w:themeColor="text1"/>
        </w:rPr>
        <w:t xml:space="preserve">other method unless </w:t>
      </w:r>
      <w:r w:rsidR="00CF55D4">
        <w:rPr>
          <w:color w:val="000000" w:themeColor="text1"/>
        </w:rPr>
        <w:t xml:space="preserve">previously approved by </w:t>
      </w:r>
      <w:r w:rsidRPr="00301C0F">
        <w:rPr>
          <w:color w:val="000000" w:themeColor="text1"/>
        </w:rPr>
        <w:t>TDA staff.</w:t>
      </w:r>
    </w:p>
    <w:p w14:paraId="4E05649F" w14:textId="03695E3E" w:rsidR="00301C0F" w:rsidRDefault="00301C0F" w:rsidP="00E54478"/>
    <w:p w14:paraId="7C5130BC" w14:textId="4B9D18AC" w:rsidR="005357AB" w:rsidRPr="00F7726F" w:rsidRDefault="00517B65" w:rsidP="00E54478">
      <w:pPr>
        <w:rPr>
          <w:rFonts w:cs="Arial"/>
        </w:rPr>
      </w:pPr>
      <w:r w:rsidRPr="00517B65">
        <w:rPr>
          <w:b/>
          <w:bCs/>
        </w:rPr>
        <w:t>NOTE:</w:t>
      </w:r>
      <w:r>
        <w:t xml:space="preserve"> </w:t>
      </w:r>
      <w:r w:rsidR="005357AB" w:rsidRPr="00F7726F">
        <w:rPr>
          <w:rFonts w:cs="Arial"/>
        </w:rPr>
        <w:t>TDA will deobligate all funds that are:</w:t>
      </w:r>
    </w:p>
    <w:p w14:paraId="111756E8" w14:textId="076E7238" w:rsidR="00517B65" w:rsidRPr="00636F08" w:rsidRDefault="005357AB" w:rsidP="00636F08">
      <w:pPr>
        <w:pStyle w:val="ListParagraph"/>
        <w:numPr>
          <w:ilvl w:val="0"/>
          <w:numId w:val="94"/>
        </w:numPr>
        <w:rPr>
          <w:rFonts w:cs="Arial"/>
        </w:rPr>
      </w:pPr>
      <w:r w:rsidRPr="00636F08">
        <w:rPr>
          <w:rFonts w:ascii="Arial" w:hAnsi="Arial" w:cs="Arial"/>
        </w:rPr>
        <w:t xml:space="preserve">Identified by the Grant Recipient as </w:t>
      </w:r>
      <w:r w:rsidR="00517B65" w:rsidRPr="00636F08">
        <w:rPr>
          <w:rFonts w:ascii="Arial" w:hAnsi="Arial" w:cs="Arial"/>
        </w:rPr>
        <w:t xml:space="preserve">deobligated </w:t>
      </w:r>
      <w:proofErr w:type="gramStart"/>
      <w:r w:rsidR="00517B65" w:rsidRPr="00636F08">
        <w:rPr>
          <w:rFonts w:ascii="Arial" w:hAnsi="Arial" w:cs="Arial"/>
        </w:rPr>
        <w:t>funds;</w:t>
      </w:r>
      <w:proofErr w:type="gramEnd"/>
      <w:r w:rsidR="00517B65" w:rsidRPr="00636F08">
        <w:rPr>
          <w:rFonts w:ascii="Arial" w:hAnsi="Arial" w:cs="Arial"/>
        </w:rPr>
        <w:t xml:space="preserve"> </w:t>
      </w:r>
    </w:p>
    <w:p w14:paraId="77A3AEF5" w14:textId="77777777" w:rsidR="00517B65" w:rsidRDefault="00517B65" w:rsidP="00517B65">
      <w:pPr>
        <w:pStyle w:val="ListParagraph"/>
        <w:numPr>
          <w:ilvl w:val="0"/>
          <w:numId w:val="93"/>
        </w:numPr>
        <w:spacing w:line="240" w:lineRule="auto"/>
        <w:rPr>
          <w:rFonts w:ascii="Arial" w:hAnsi="Arial" w:cs="Arial"/>
        </w:rPr>
      </w:pPr>
      <w:r w:rsidRPr="00F7726F">
        <w:rPr>
          <w:rFonts w:ascii="Arial" w:hAnsi="Arial" w:cs="Arial"/>
        </w:rPr>
        <w:t>Not requested for</w:t>
      </w:r>
      <w:r w:rsidRPr="00517B65">
        <w:rPr>
          <w:rFonts w:ascii="Arial" w:hAnsi="Arial" w:cs="Arial"/>
        </w:rPr>
        <w:t xml:space="preserve"> payment (i.e., no payment request submitted to TDA) with appropriate documentation within sixty (60) days after the Grant Agreement end date</w:t>
      </w:r>
      <w:r>
        <w:rPr>
          <w:rFonts w:ascii="Arial" w:hAnsi="Arial" w:cs="Arial"/>
        </w:rPr>
        <w:t xml:space="preserve">; </w:t>
      </w:r>
      <w:r w:rsidRPr="00517B65">
        <w:rPr>
          <w:rFonts w:ascii="Arial" w:hAnsi="Arial" w:cs="Arial"/>
        </w:rPr>
        <w:t xml:space="preserve">or </w:t>
      </w:r>
    </w:p>
    <w:p w14:paraId="6FE02249" w14:textId="713DE598" w:rsidR="005357AB" w:rsidRPr="00517B65" w:rsidRDefault="00636F08" w:rsidP="00517B65">
      <w:pPr>
        <w:pStyle w:val="ListParagraph"/>
        <w:numPr>
          <w:ilvl w:val="0"/>
          <w:numId w:val="93"/>
        </w:numPr>
        <w:spacing w:line="240" w:lineRule="auto"/>
        <w:rPr>
          <w:rFonts w:ascii="Arial" w:hAnsi="Arial" w:cs="Arial"/>
        </w:rPr>
      </w:pPr>
      <w:r>
        <w:rPr>
          <w:rFonts w:ascii="Arial" w:hAnsi="Arial" w:cs="Arial"/>
        </w:rPr>
        <w:t>Not a</w:t>
      </w:r>
      <w:r w:rsidR="00517B65" w:rsidRPr="00517B65">
        <w:rPr>
          <w:rFonts w:ascii="Arial" w:hAnsi="Arial" w:cs="Arial"/>
        </w:rPr>
        <w:t>pproved for extended reserve</w:t>
      </w:r>
      <w:r w:rsidR="00F7726F">
        <w:rPr>
          <w:rFonts w:ascii="Arial" w:hAnsi="Arial" w:cs="Arial"/>
        </w:rPr>
        <w:t>,</w:t>
      </w:r>
      <w:r w:rsidR="00517B65" w:rsidRPr="00517B65">
        <w:rPr>
          <w:rFonts w:ascii="Arial" w:hAnsi="Arial" w:cs="Arial"/>
        </w:rPr>
        <w:t xml:space="preserve"> </w:t>
      </w:r>
      <w:r w:rsidR="00F7726F">
        <w:rPr>
          <w:rFonts w:ascii="Arial" w:hAnsi="Arial" w:cs="Arial"/>
        </w:rPr>
        <w:t>s</w:t>
      </w:r>
      <w:r w:rsidR="00517B65" w:rsidRPr="00517B65">
        <w:rPr>
          <w:rFonts w:ascii="Arial" w:hAnsi="Arial" w:cs="Arial"/>
        </w:rPr>
        <w:t xml:space="preserve">ee </w:t>
      </w:r>
      <w:r w:rsidR="00517B65" w:rsidRPr="00517B65">
        <w:rPr>
          <w:rFonts w:ascii="Arial" w:hAnsi="Arial" w:cs="Arial"/>
          <w:i/>
          <w:iCs/>
        </w:rPr>
        <w:t>Chapter 12.2.1 Confirmation of Final Project Details</w:t>
      </w:r>
      <w:r w:rsidR="00517B65" w:rsidRPr="00517B65">
        <w:rPr>
          <w:rFonts w:ascii="Arial" w:hAnsi="Arial" w:cs="Arial"/>
        </w:rPr>
        <w:t xml:space="preserve"> for additional information.</w:t>
      </w:r>
    </w:p>
    <w:p w14:paraId="6DB8A97F" w14:textId="77777777" w:rsidR="00517B65" w:rsidRDefault="00517B65" w:rsidP="00E54478"/>
    <w:p w14:paraId="4036422E" w14:textId="6A92E5E1" w:rsidR="00556ECB" w:rsidRDefault="00556ECB" w:rsidP="00E54478">
      <w:pPr>
        <w:pStyle w:val="3Arial11"/>
      </w:pPr>
      <w:r w:rsidRPr="00594F19">
        <w:t xml:space="preserve">Maximum General </w:t>
      </w:r>
      <w:r w:rsidR="00636F08">
        <w:t>Administration</w:t>
      </w:r>
      <w:r w:rsidRPr="00594F19">
        <w:t xml:space="preserve"> </w:t>
      </w:r>
      <w:r w:rsidR="00636F08">
        <w:t xml:space="preserve">Services </w:t>
      </w:r>
      <w:r w:rsidR="00594F19" w:rsidRPr="006337EB">
        <w:t xml:space="preserve">and Engineering Services </w:t>
      </w:r>
      <w:r w:rsidRPr="00594F19">
        <w:t>Reimbursement</w:t>
      </w:r>
    </w:p>
    <w:p w14:paraId="45642428" w14:textId="5087FCE7" w:rsidR="00A44179" w:rsidRPr="000A0D60" w:rsidRDefault="00A44179" w:rsidP="0049576E">
      <w:r w:rsidRPr="000A0D60">
        <w:t>T</w:t>
      </w:r>
      <w:r w:rsidR="004745EF" w:rsidRPr="000A0D60">
        <w:t>he TxCDBG grant application</w:t>
      </w:r>
      <w:r w:rsidR="00A4793B" w:rsidRPr="000A0D60">
        <w:t xml:space="preserve"> guide</w:t>
      </w:r>
      <w:r w:rsidR="004745EF" w:rsidRPr="000A0D60">
        <w:t xml:space="preserve"> </w:t>
      </w:r>
      <w:r w:rsidRPr="000A0D60">
        <w:t xml:space="preserve">describes </w:t>
      </w:r>
      <w:r w:rsidR="004745EF" w:rsidRPr="000A0D60">
        <w:t xml:space="preserve">the maximum allowable expense for </w:t>
      </w:r>
      <w:r w:rsidR="00636F08">
        <w:t>administration</w:t>
      </w:r>
      <w:r w:rsidR="004745EF" w:rsidRPr="000A0D60">
        <w:t xml:space="preserve"> </w:t>
      </w:r>
      <w:r w:rsidRPr="000A0D60">
        <w:t xml:space="preserve">and engineering </w:t>
      </w:r>
      <w:r w:rsidR="004745EF" w:rsidRPr="000A0D60">
        <w:t>costs</w:t>
      </w:r>
      <w:r w:rsidRPr="000A0D60">
        <w:t xml:space="preserve"> for </w:t>
      </w:r>
      <w:r w:rsidR="00DF449B" w:rsidRPr="000A0D60">
        <w:t xml:space="preserve">each </w:t>
      </w:r>
      <w:proofErr w:type="gramStart"/>
      <w:r w:rsidRPr="000A0D60">
        <w:t>particular fund</w:t>
      </w:r>
      <w:proofErr w:type="gramEnd"/>
      <w:r w:rsidRPr="000A0D60">
        <w:t xml:space="preserve"> category and</w:t>
      </w:r>
      <w:r w:rsidR="00DF449B" w:rsidRPr="000A0D60">
        <w:t>/or</w:t>
      </w:r>
      <w:r w:rsidRPr="000A0D60">
        <w:t xml:space="preserve"> competition</w:t>
      </w:r>
      <w:r w:rsidR="004745EF" w:rsidRPr="000A0D60">
        <w:t xml:space="preserve">. </w:t>
      </w:r>
      <w:r w:rsidRPr="000A0D60">
        <w:t>Unless specifically</w:t>
      </w:r>
      <w:r w:rsidR="00A4793B" w:rsidRPr="000A0D60">
        <w:t xml:space="preserve"> stated otherwise</w:t>
      </w:r>
      <w:r w:rsidR="00FA1158">
        <w:t>:</w:t>
      </w:r>
    </w:p>
    <w:p w14:paraId="65806B94" w14:textId="6AFDA5C7" w:rsidR="004745EF" w:rsidRDefault="002965B9" w:rsidP="00E54478">
      <w:pPr>
        <w:pStyle w:val="2Bulletedlist-Arial11"/>
        <w:spacing w:line="240" w:lineRule="auto"/>
        <w:ind w:left="900"/>
      </w:pPr>
      <w:r>
        <w:t>T</w:t>
      </w:r>
      <w:r w:rsidR="000A2061">
        <w:t xml:space="preserve">he </w:t>
      </w:r>
      <w:r w:rsidR="00A44179">
        <w:t>a</w:t>
      </w:r>
      <w:r w:rsidR="004745EF" w:rsidRPr="006337EB">
        <w:t>dministrati</w:t>
      </w:r>
      <w:r w:rsidR="00636F08">
        <w:t>on</w:t>
      </w:r>
      <w:r w:rsidR="004745EF" w:rsidRPr="006337EB">
        <w:t xml:space="preserve"> costs may not be more than 16% of the TxCDBG grant funds budgeted for</w:t>
      </w:r>
      <w:r w:rsidR="000A2061">
        <w:t xml:space="preserve"> </w:t>
      </w:r>
      <w:r w:rsidR="00A44179">
        <w:t>(or expended for)</w:t>
      </w:r>
      <w:r w:rsidR="004745EF" w:rsidRPr="006337EB">
        <w:t xml:space="preserve"> combined construction and acq</w:t>
      </w:r>
      <w:r w:rsidR="004745EF">
        <w:t>uisition/relocation activities, or the maximum dollar amount, whichever is less.</w:t>
      </w:r>
    </w:p>
    <w:p w14:paraId="009ACFE6" w14:textId="3864EDD7" w:rsidR="004745EF" w:rsidRPr="000A2061" w:rsidRDefault="002965B9" w:rsidP="00E54478">
      <w:pPr>
        <w:pStyle w:val="2Bulletedlist-Arial11"/>
        <w:spacing w:line="240" w:lineRule="auto"/>
        <w:ind w:left="900"/>
        <w:rPr>
          <w:rStyle w:val="CommentReference"/>
          <w:sz w:val="22"/>
        </w:rPr>
      </w:pPr>
      <w:r>
        <w:t>E</w:t>
      </w:r>
      <w:r w:rsidR="00A44179">
        <w:t>ng</w:t>
      </w:r>
      <w:r w:rsidR="00A44179" w:rsidRPr="006337EB">
        <w:t xml:space="preserve">ineering costs may not be more than 25% of the TxCDBG grant funds budgeted for combined construction and acquisition/relocation activities </w:t>
      </w:r>
      <w:r w:rsidR="00A44179">
        <w:t>(</w:t>
      </w:r>
      <w:r w:rsidR="00A44179" w:rsidRPr="006337EB">
        <w:t>except in exceptional circumstances</w:t>
      </w:r>
      <w:r w:rsidR="00A44179">
        <w:t>), or the maximum dollar amount, whichever is less.</w:t>
      </w:r>
      <w:r w:rsidR="00A44179" w:rsidDel="00A44179">
        <w:t xml:space="preserve"> </w:t>
      </w:r>
    </w:p>
    <w:p w14:paraId="2094D760" w14:textId="17A448B8" w:rsidR="00DC48FA" w:rsidRPr="006337EB" w:rsidRDefault="00DC48FA" w:rsidP="00E54478"/>
    <w:p w14:paraId="44A00F19" w14:textId="6D451A07" w:rsidR="00CE6213" w:rsidRPr="00DC48FA" w:rsidRDefault="003D4947" w:rsidP="00E54478">
      <w:pPr>
        <w:ind w:right="-324"/>
        <w:rPr>
          <w:rFonts w:cs="Arial"/>
          <w:b/>
          <w:bCs/>
          <w:szCs w:val="22"/>
        </w:rPr>
      </w:pPr>
      <w:r w:rsidRPr="00DC48FA">
        <w:rPr>
          <w:rFonts w:cs="Arial"/>
          <w:b/>
          <w:bCs/>
          <w:szCs w:val="22"/>
        </w:rPr>
        <w:t>Adjusted Administration and Engineering Services Reimbursement when Funds are Deobligated</w:t>
      </w:r>
    </w:p>
    <w:p w14:paraId="67D213A9" w14:textId="4A647040" w:rsidR="001F4E8D" w:rsidRDefault="00594F19" w:rsidP="00E54478">
      <w:pPr>
        <w:pStyle w:val="2Bulletedlist-Arial11"/>
        <w:spacing w:line="240" w:lineRule="auto"/>
      </w:pPr>
      <w:r w:rsidRPr="006337EB">
        <w:t xml:space="preserve">If construction and/or acquisition funds are deobligated from the </w:t>
      </w:r>
      <w:r w:rsidR="0080050B">
        <w:t>Grant Agreement</w:t>
      </w:r>
      <w:r w:rsidR="00590EAB" w:rsidRPr="006337EB">
        <w:t xml:space="preserve"> </w:t>
      </w:r>
      <w:r w:rsidRPr="006337EB">
        <w:t xml:space="preserve">during the closeout process, </w:t>
      </w:r>
      <w:r w:rsidR="003D4947">
        <w:t>the ratios for administrati</w:t>
      </w:r>
      <w:r w:rsidR="00636F08">
        <w:t>on</w:t>
      </w:r>
      <w:r w:rsidR="003D4947">
        <w:t xml:space="preserve"> and engineering costs</w:t>
      </w:r>
      <w:r w:rsidR="003D4947" w:rsidRPr="006337EB">
        <w:t xml:space="preserve"> </w:t>
      </w:r>
      <w:r w:rsidRPr="006337EB">
        <w:t>will be re</w:t>
      </w:r>
      <w:r w:rsidR="006B50CC" w:rsidRPr="006337EB">
        <w:t>calculated</w:t>
      </w:r>
      <w:r w:rsidRPr="006337EB">
        <w:t xml:space="preserve"> to ensure that final costs are </w:t>
      </w:r>
      <w:r w:rsidR="00F44441" w:rsidRPr="006337EB">
        <w:t>within the allowable percentage</w:t>
      </w:r>
      <w:r w:rsidRPr="006337EB">
        <w:t xml:space="preserve"> of the actual construction and acquisition grant funds utilized.</w:t>
      </w:r>
      <w:r w:rsidR="00C9351D">
        <w:t xml:space="preserve"> </w:t>
      </w:r>
      <w:r w:rsidR="00CE6213" w:rsidRPr="006337EB">
        <w:t xml:space="preserve">Any costs </w:t>
      </w:r>
      <w:r w:rsidR="000A2061" w:rsidRPr="006337EB">
        <w:t>more than</w:t>
      </w:r>
      <w:r w:rsidR="00CE6213" w:rsidRPr="006337EB">
        <w:t xml:space="preserve"> the recalculated ratios will be considered over budget.</w:t>
      </w:r>
      <w:r w:rsidR="00C9351D">
        <w:t xml:space="preserve"> </w:t>
      </w:r>
      <w:r w:rsidR="00CE6213" w:rsidRPr="006337EB">
        <w:t xml:space="preserve">The Grant Recipient may not </w:t>
      </w:r>
      <w:r w:rsidR="003D4947">
        <w:t>request payment for</w:t>
      </w:r>
      <w:r w:rsidR="00CE6213" w:rsidRPr="006337EB">
        <w:t xml:space="preserve"> over budget costs and must repay any such costs already </w:t>
      </w:r>
      <w:r w:rsidR="0049576E">
        <w:t>received but</w:t>
      </w:r>
      <w:r w:rsidR="00CE6213" w:rsidRPr="006337EB">
        <w:t xml:space="preserve"> may claim these costs to meet a </w:t>
      </w:r>
      <w:r w:rsidR="0080050B">
        <w:t>Grant Agreement</w:t>
      </w:r>
      <w:r w:rsidR="00CE6213" w:rsidRPr="006337EB">
        <w:t>’s match requirements.</w:t>
      </w:r>
    </w:p>
    <w:p w14:paraId="702EDEB3" w14:textId="4ECAB399" w:rsidR="00CE6213" w:rsidRPr="006337EB" w:rsidRDefault="00CE6213" w:rsidP="00E54478">
      <w:pPr>
        <w:pStyle w:val="2Bulletedlist-Arial11"/>
        <w:spacing w:line="240" w:lineRule="auto"/>
      </w:pPr>
      <w:r w:rsidRPr="006337EB">
        <w:t xml:space="preserve">Grant Recipients </w:t>
      </w:r>
      <w:r w:rsidR="002D0E4E" w:rsidRPr="006337EB">
        <w:t xml:space="preserve">deobligating construction and/or acquisition funds </w:t>
      </w:r>
      <w:r w:rsidRPr="006337EB">
        <w:t xml:space="preserve">may request an exception to the recalculated budgets for administration and engineering services if the project was completed </w:t>
      </w:r>
      <w:r w:rsidR="004A3290">
        <w:t>during</w:t>
      </w:r>
      <w:r w:rsidR="004A3290" w:rsidRPr="006337EB">
        <w:t xml:space="preserve"> </w:t>
      </w:r>
      <w:r w:rsidRPr="006337EB">
        <w:t xml:space="preserve">the original </w:t>
      </w:r>
      <w:r w:rsidR="0080050B">
        <w:t>Grant Agreement</w:t>
      </w:r>
      <w:r w:rsidR="00590EAB" w:rsidRPr="006337EB">
        <w:t xml:space="preserve"> </w:t>
      </w:r>
      <w:r w:rsidRPr="006337EB">
        <w:t>period</w:t>
      </w:r>
      <w:r w:rsidR="004745EF">
        <w:t>,</w:t>
      </w:r>
      <w:r w:rsidR="00394972">
        <w:t xml:space="preserve"> i.e.</w:t>
      </w:r>
      <w:r w:rsidR="002965B9">
        <w:t xml:space="preserve">, </w:t>
      </w:r>
      <w:r w:rsidR="00394972">
        <w:t>no extensions</w:t>
      </w:r>
      <w:r w:rsidRPr="006337EB">
        <w:t xml:space="preserve">. The request letter must </w:t>
      </w:r>
      <w:r w:rsidR="00D90162">
        <w:t xml:space="preserve">be uploaded to the </w:t>
      </w:r>
      <w:r w:rsidR="00D90162" w:rsidRPr="002401B7">
        <w:rPr>
          <w:i/>
          <w:iCs/>
        </w:rPr>
        <w:t>Grant Overview</w:t>
      </w:r>
      <w:r w:rsidR="00AF7278">
        <w:t xml:space="preserve"> page</w:t>
      </w:r>
      <w:r w:rsidR="00D90162">
        <w:t xml:space="preserve">, </w:t>
      </w:r>
      <w:r w:rsidR="00D90162" w:rsidRPr="002401B7">
        <w:rPr>
          <w:i/>
          <w:iCs/>
        </w:rPr>
        <w:t>Special Requests</w:t>
      </w:r>
      <w:r w:rsidR="00D90162">
        <w:t xml:space="preserve"> section, and must </w:t>
      </w:r>
      <w:r w:rsidRPr="006337EB">
        <w:t>include</w:t>
      </w:r>
      <w:r w:rsidR="001F4E8D" w:rsidRPr="006337EB">
        <w:t xml:space="preserve"> a description of</w:t>
      </w:r>
      <w:r w:rsidR="003473B6">
        <w:t xml:space="preserve"> the following</w:t>
      </w:r>
      <w:r w:rsidR="00C9351D">
        <w:t>:</w:t>
      </w:r>
    </w:p>
    <w:p w14:paraId="51227F60" w14:textId="626CF6C6" w:rsidR="0049575F" w:rsidRPr="006337EB" w:rsidRDefault="00394972" w:rsidP="00E54478">
      <w:pPr>
        <w:pStyle w:val="2Bulletedlist-Arial11"/>
        <w:numPr>
          <w:ilvl w:val="1"/>
          <w:numId w:val="49"/>
        </w:numPr>
        <w:spacing w:line="240" w:lineRule="auto"/>
        <w:ind w:left="1080"/>
      </w:pPr>
      <w:r>
        <w:t>U</w:t>
      </w:r>
      <w:r w:rsidR="0049575F" w:rsidRPr="006337EB">
        <w:t>nforeseen circumstances beyon</w:t>
      </w:r>
      <w:r w:rsidR="001F4E8D" w:rsidRPr="006337EB">
        <w:t>d the Grant Recipient’s control</w:t>
      </w:r>
      <w:r w:rsidR="003473B6">
        <w:t xml:space="preserve"> resulted in the deobligation of </w:t>
      </w:r>
      <w:proofErr w:type="gramStart"/>
      <w:r w:rsidR="003473B6">
        <w:t>funds</w:t>
      </w:r>
      <w:r w:rsidR="001F4E8D" w:rsidRPr="006337EB">
        <w:t>;</w:t>
      </w:r>
      <w:proofErr w:type="gramEnd"/>
    </w:p>
    <w:p w14:paraId="337D5F1E" w14:textId="78A84179" w:rsidR="0049575F" w:rsidRPr="006337EB" w:rsidRDefault="00394972" w:rsidP="00E54478">
      <w:pPr>
        <w:pStyle w:val="2Bulletedlist-Arial11"/>
        <w:numPr>
          <w:ilvl w:val="1"/>
          <w:numId w:val="49"/>
        </w:numPr>
        <w:spacing w:line="240" w:lineRule="auto"/>
        <w:ind w:left="1080"/>
      </w:pPr>
      <w:r>
        <w:t>T</w:t>
      </w:r>
      <w:r w:rsidR="001F4E8D" w:rsidRPr="006337EB">
        <w:t xml:space="preserve">he </w:t>
      </w:r>
      <w:r w:rsidR="0049575F" w:rsidRPr="006337EB">
        <w:t>timely and</w:t>
      </w:r>
      <w:r w:rsidR="001F4E8D" w:rsidRPr="006337EB">
        <w:t xml:space="preserve"> effective</w:t>
      </w:r>
      <w:r w:rsidR="0049575F" w:rsidRPr="006337EB">
        <w:t xml:space="preserve"> </w:t>
      </w:r>
      <w:r w:rsidR="001F4E8D" w:rsidRPr="006337EB">
        <w:t>completion of</w:t>
      </w:r>
      <w:r w:rsidR="0049575F" w:rsidRPr="006337EB">
        <w:t xml:space="preserve"> contractual project obligations in their professional/a</w:t>
      </w:r>
      <w:r w:rsidR="001F4E8D" w:rsidRPr="006337EB">
        <w:t>dministrati</w:t>
      </w:r>
      <w:r w:rsidR="00636F08">
        <w:t>on</w:t>
      </w:r>
      <w:r w:rsidR="001F4E8D" w:rsidRPr="006337EB">
        <w:t xml:space="preserve"> service</w:t>
      </w:r>
      <w:r w:rsidR="00F7726F">
        <w:t>s</w:t>
      </w:r>
      <w:r w:rsidR="001F4E8D" w:rsidRPr="006337EB">
        <w:t xml:space="preserve"> </w:t>
      </w:r>
      <w:proofErr w:type="gramStart"/>
      <w:r w:rsidR="001F4E8D" w:rsidRPr="006337EB">
        <w:t>agreement;</w:t>
      </w:r>
      <w:proofErr w:type="gramEnd"/>
    </w:p>
    <w:p w14:paraId="6BB6C22F" w14:textId="4B436BEA" w:rsidR="0049575F" w:rsidRPr="006337EB" w:rsidRDefault="00394972" w:rsidP="00E54478">
      <w:pPr>
        <w:pStyle w:val="2Bulletedlist-Arial11"/>
        <w:numPr>
          <w:ilvl w:val="1"/>
          <w:numId w:val="49"/>
        </w:numPr>
        <w:spacing w:line="240" w:lineRule="auto"/>
        <w:ind w:left="1080"/>
      </w:pPr>
      <w:r>
        <w:t>A</w:t>
      </w:r>
      <w:r w:rsidR="0049575F" w:rsidRPr="006337EB">
        <w:t xml:space="preserve">dditional time invested in the project </w:t>
      </w:r>
      <w:r w:rsidR="001F4E8D" w:rsidRPr="006337EB">
        <w:t>beyond the normal scope of work; and</w:t>
      </w:r>
    </w:p>
    <w:p w14:paraId="5D447F6E" w14:textId="02C81540" w:rsidR="0049575F" w:rsidRDefault="00394972" w:rsidP="00E54478">
      <w:pPr>
        <w:pStyle w:val="2Bulletedlist-Arial11"/>
        <w:numPr>
          <w:ilvl w:val="1"/>
          <w:numId w:val="49"/>
        </w:numPr>
        <w:spacing w:line="240" w:lineRule="auto"/>
        <w:ind w:left="1080"/>
      </w:pPr>
      <w:r>
        <w:t>G</w:t>
      </w:r>
      <w:r w:rsidR="0049575F" w:rsidRPr="006337EB">
        <w:t xml:space="preserve">ood faith efforts </w:t>
      </w:r>
      <w:r w:rsidR="001F4E8D" w:rsidRPr="006337EB">
        <w:t xml:space="preserve">by the Grant </w:t>
      </w:r>
      <w:r w:rsidR="002D0E4E" w:rsidRPr="006337EB">
        <w:t>R</w:t>
      </w:r>
      <w:r w:rsidR="001F4E8D" w:rsidRPr="006337EB">
        <w:t xml:space="preserve">ecipient and </w:t>
      </w:r>
      <w:r w:rsidR="005A60D5" w:rsidRPr="006337EB">
        <w:t>the administrati</w:t>
      </w:r>
      <w:r w:rsidR="00636F08">
        <w:t>on</w:t>
      </w:r>
      <w:r w:rsidR="005A60D5" w:rsidRPr="006337EB">
        <w:t xml:space="preserve"> or</w:t>
      </w:r>
      <w:r w:rsidR="008D5770" w:rsidRPr="006337EB">
        <w:t xml:space="preserve"> engineering services provider</w:t>
      </w:r>
      <w:r w:rsidR="005A60D5" w:rsidRPr="006337EB">
        <w:t xml:space="preserve"> </w:t>
      </w:r>
      <w:r w:rsidR="0049575F" w:rsidRPr="006337EB">
        <w:t xml:space="preserve">to </w:t>
      </w:r>
      <w:r w:rsidR="006B50CC" w:rsidRPr="006337EB">
        <w:t xml:space="preserve">use allowable </w:t>
      </w:r>
      <w:r w:rsidR="00590EAB">
        <w:t>grant amendment</w:t>
      </w:r>
      <w:r w:rsidR="006B50CC" w:rsidRPr="006337EB">
        <w:t xml:space="preserve"> options to fully utilize </w:t>
      </w:r>
      <w:r w:rsidR="0049575F" w:rsidRPr="006337EB">
        <w:t xml:space="preserve">the grant funding included in the TxCDBG </w:t>
      </w:r>
      <w:r w:rsidR="0080050B">
        <w:t>Grant Agreement</w:t>
      </w:r>
      <w:r w:rsidR="006A707C" w:rsidRPr="006337EB">
        <w:t>.</w:t>
      </w:r>
    </w:p>
    <w:p w14:paraId="43628150" w14:textId="77777777" w:rsidR="001C693A" w:rsidRDefault="001C693A" w:rsidP="001C693A">
      <w:pPr>
        <w:pStyle w:val="3Arial11"/>
        <w:jc w:val="left"/>
        <w:rPr>
          <w:b w:val="0"/>
          <w:bCs w:val="0"/>
        </w:rPr>
      </w:pPr>
    </w:p>
    <w:p w14:paraId="49637606" w14:textId="6F069ED2" w:rsidR="001C693A" w:rsidRDefault="001C693A" w:rsidP="001C693A">
      <w:pPr>
        <w:pStyle w:val="3Arial11"/>
        <w:jc w:val="left"/>
        <w:rPr>
          <w:b w:val="0"/>
          <w:bCs w:val="0"/>
        </w:rPr>
      </w:pPr>
      <w:r w:rsidRPr="00F54C99">
        <w:rPr>
          <w:b w:val="0"/>
          <w:bCs w:val="0"/>
        </w:rPr>
        <w:t xml:space="preserve">For the following </w:t>
      </w:r>
      <w:r>
        <w:rPr>
          <w:b w:val="0"/>
          <w:bCs w:val="0"/>
        </w:rPr>
        <w:t xml:space="preserve">fund disbursement </w:t>
      </w:r>
      <w:r w:rsidRPr="00F54C99">
        <w:rPr>
          <w:b w:val="0"/>
          <w:bCs w:val="0"/>
        </w:rPr>
        <w:t xml:space="preserve">thresholds, see </w:t>
      </w:r>
      <w:r w:rsidRPr="003C114F">
        <w:rPr>
          <w:b w:val="0"/>
          <w:bCs w:val="0"/>
          <w:i/>
          <w:iCs/>
        </w:rPr>
        <w:t>Chapter 1</w:t>
      </w:r>
      <w:r w:rsidRPr="00F54C99">
        <w:rPr>
          <w:b w:val="0"/>
          <w:bCs w:val="0"/>
        </w:rPr>
        <w:t xml:space="preserve"> </w:t>
      </w:r>
      <w:r w:rsidRPr="002401B7">
        <w:rPr>
          <w:b w:val="0"/>
          <w:bCs w:val="0"/>
          <w:i/>
          <w:iCs/>
        </w:rPr>
        <w:t>Administration and Reporting</w:t>
      </w:r>
      <w:r>
        <w:rPr>
          <w:b w:val="0"/>
          <w:bCs w:val="0"/>
        </w:rPr>
        <w:t xml:space="preserve"> </w:t>
      </w:r>
      <w:r w:rsidRPr="00F54C99">
        <w:rPr>
          <w:b w:val="0"/>
          <w:bCs w:val="0"/>
        </w:rPr>
        <w:t xml:space="preserve">for a list of </w:t>
      </w:r>
      <w:r>
        <w:rPr>
          <w:b w:val="0"/>
          <w:bCs w:val="0"/>
        </w:rPr>
        <w:t>specific requirements.</w:t>
      </w:r>
    </w:p>
    <w:p w14:paraId="2133557E" w14:textId="77777777" w:rsidR="001C693A" w:rsidRDefault="001C693A" w:rsidP="001C693A"/>
    <w:p w14:paraId="692527B4" w14:textId="29D666D2" w:rsidR="009522C1" w:rsidRDefault="00556ECB" w:rsidP="00E54478">
      <w:pPr>
        <w:pStyle w:val="3Arial11"/>
      </w:pPr>
      <w:r w:rsidRPr="005A1F9A">
        <w:t xml:space="preserve">Group A Documents </w:t>
      </w:r>
    </w:p>
    <w:p w14:paraId="1684A606" w14:textId="6813D1CE" w:rsidR="00DC48FA" w:rsidRPr="00D27B17" w:rsidRDefault="00120C3A" w:rsidP="00E54478">
      <w:pPr>
        <w:pStyle w:val="3Arial11"/>
        <w:rPr>
          <w:b w:val="0"/>
          <w:bCs w:val="0"/>
        </w:rPr>
      </w:pPr>
      <w:r>
        <w:rPr>
          <w:b w:val="0"/>
          <w:bCs w:val="0"/>
        </w:rPr>
        <w:t xml:space="preserve">No grant funds will be disbursed until </w:t>
      </w:r>
      <w:r w:rsidR="00FD0EEA">
        <w:rPr>
          <w:b w:val="0"/>
          <w:bCs w:val="0"/>
        </w:rPr>
        <w:t xml:space="preserve">all </w:t>
      </w:r>
      <w:r>
        <w:rPr>
          <w:b w:val="0"/>
          <w:bCs w:val="0"/>
        </w:rPr>
        <w:t>Group A documents have been accepted.</w:t>
      </w:r>
    </w:p>
    <w:p w14:paraId="6B1DA558" w14:textId="3C6D1A5B" w:rsidR="00AE346D" w:rsidRPr="002A0BB9" w:rsidRDefault="00537BD9" w:rsidP="001C693A">
      <w:r w:rsidRPr="002A0BB9">
        <w:t xml:space="preserve">Once all Group A requirements have been </w:t>
      </w:r>
      <w:r w:rsidR="005B1180">
        <w:t>approved</w:t>
      </w:r>
      <w:r w:rsidR="005B1180" w:rsidRPr="002A0BB9">
        <w:t xml:space="preserve"> </w:t>
      </w:r>
      <w:r w:rsidR="005B1180">
        <w:t>by TDA staff</w:t>
      </w:r>
      <w:r w:rsidRPr="002A0BB9">
        <w:t xml:space="preserve">, the Grant Recipient may request the following, as costs are actually incurred: </w:t>
      </w:r>
    </w:p>
    <w:p w14:paraId="7C9A5528" w14:textId="515BB95A" w:rsidR="00537BD9" w:rsidRPr="007210CE" w:rsidRDefault="00537BD9" w:rsidP="00E54478">
      <w:pPr>
        <w:pStyle w:val="2Bulletedlist-Arial11"/>
        <w:spacing w:line="240" w:lineRule="auto"/>
      </w:pPr>
      <w:r w:rsidRPr="007210CE">
        <w:t xml:space="preserve">Up to 50% of the </w:t>
      </w:r>
      <w:r w:rsidR="00636F08">
        <w:t>administration</w:t>
      </w:r>
      <w:r w:rsidRPr="007210CE">
        <w:t xml:space="preserve"> budge</w:t>
      </w:r>
      <w:r w:rsidR="00ED4963" w:rsidRPr="007210CE">
        <w:t>t</w:t>
      </w:r>
      <w:r w:rsidRPr="007210CE">
        <w:t xml:space="preserve"> and</w:t>
      </w:r>
    </w:p>
    <w:p w14:paraId="28FC1DD4" w14:textId="37433213" w:rsidR="00537BD9" w:rsidRPr="007210CE" w:rsidRDefault="00537BD9" w:rsidP="00E54478">
      <w:pPr>
        <w:pStyle w:val="2Bulletedlist-Arial11"/>
        <w:spacing w:line="240" w:lineRule="auto"/>
      </w:pPr>
      <w:r w:rsidRPr="007210CE">
        <w:t>Up to 50% of the engineering budget.</w:t>
      </w:r>
    </w:p>
    <w:p w14:paraId="370A7D2E" w14:textId="26151C30" w:rsidR="00CF3260" w:rsidRPr="00BF375E" w:rsidRDefault="00CF3260" w:rsidP="001C693A"/>
    <w:p w14:paraId="5A76AE0B" w14:textId="52DC4031" w:rsidR="007D280D" w:rsidRPr="00D27B17" w:rsidRDefault="00556ECB" w:rsidP="00E54478">
      <w:pPr>
        <w:pStyle w:val="3Arial11"/>
      </w:pPr>
      <w:r w:rsidRPr="00600EF4">
        <w:t>Group B</w:t>
      </w:r>
      <w:r>
        <w:t xml:space="preserve"> Documents</w:t>
      </w:r>
    </w:p>
    <w:p w14:paraId="3E987303" w14:textId="067F1377" w:rsidR="00D6689B" w:rsidRPr="002A0BB9" w:rsidRDefault="00D6689B" w:rsidP="002C2A7D">
      <w:pPr>
        <w:pStyle w:val="1BODY-Arial11"/>
      </w:pPr>
      <w:r w:rsidRPr="002A0BB9">
        <w:t xml:space="preserve">Once all Group B </w:t>
      </w:r>
      <w:r w:rsidR="00A2245D">
        <w:t>documents</w:t>
      </w:r>
      <w:r w:rsidR="00A2245D" w:rsidRPr="002A0BB9">
        <w:t xml:space="preserve"> </w:t>
      </w:r>
      <w:r w:rsidRPr="002A0BB9">
        <w:t xml:space="preserve">have been </w:t>
      </w:r>
      <w:r w:rsidR="005B1180">
        <w:t>approved</w:t>
      </w:r>
      <w:r w:rsidR="005B1180" w:rsidRPr="002A0BB9">
        <w:t xml:space="preserve"> </w:t>
      </w:r>
      <w:r w:rsidR="005B1180">
        <w:t>by TDA staff</w:t>
      </w:r>
      <w:r w:rsidRPr="002A0BB9">
        <w:t xml:space="preserve">, the Grant Recipient may request the following, as costs are actually incurred: </w:t>
      </w:r>
    </w:p>
    <w:p w14:paraId="79810218" w14:textId="2C826F3F" w:rsidR="00D6689B" w:rsidRPr="002A0BB9" w:rsidRDefault="00D6689B" w:rsidP="00E54478">
      <w:pPr>
        <w:pStyle w:val="2Bulletedlist-Arial11"/>
        <w:spacing w:line="240" w:lineRule="auto"/>
      </w:pPr>
      <w:r w:rsidRPr="002A0BB9">
        <w:t xml:space="preserve">Up to 90% of the </w:t>
      </w:r>
      <w:r w:rsidR="00636F08">
        <w:t>administration</w:t>
      </w:r>
      <w:r w:rsidRPr="002A0BB9">
        <w:t xml:space="preserve"> budge</w:t>
      </w:r>
      <w:r w:rsidR="00ED4963" w:rsidRPr="002A0BB9">
        <w:t>t</w:t>
      </w:r>
      <w:r w:rsidRPr="002A0BB9">
        <w:t xml:space="preserve">, </w:t>
      </w:r>
    </w:p>
    <w:p w14:paraId="653A41E9" w14:textId="34C5FB28" w:rsidR="00D6689B" w:rsidRPr="002A0BB9" w:rsidRDefault="00D6689B" w:rsidP="00E54478">
      <w:pPr>
        <w:pStyle w:val="2Bulletedlist-Arial11"/>
        <w:spacing w:line="240" w:lineRule="auto"/>
      </w:pPr>
      <w:r w:rsidRPr="002A0BB9">
        <w:t>Up to 90% of the engineering budget, and</w:t>
      </w:r>
    </w:p>
    <w:p w14:paraId="6D70C19E" w14:textId="225E4B1E" w:rsidR="00740224" w:rsidRPr="002E66C3" w:rsidRDefault="00D6689B" w:rsidP="00740224">
      <w:pPr>
        <w:pStyle w:val="2Bulletedlist-Arial11"/>
        <w:spacing w:line="240" w:lineRule="auto"/>
        <w:rPr>
          <w:color w:val="365F91" w:themeColor="accent1" w:themeShade="BF"/>
        </w:rPr>
      </w:pPr>
      <w:r w:rsidRPr="002E66C3">
        <w:rPr>
          <w:color w:val="365F91" w:themeColor="accent1" w:themeShade="BF"/>
        </w:rPr>
        <w:t xml:space="preserve">Up to </w:t>
      </w:r>
      <w:r w:rsidR="00B66C60" w:rsidRPr="002E66C3">
        <w:rPr>
          <w:color w:val="365F91" w:themeColor="accent1" w:themeShade="BF"/>
        </w:rPr>
        <w:t>7</w:t>
      </w:r>
      <w:r w:rsidRPr="002E66C3">
        <w:rPr>
          <w:color w:val="365F91" w:themeColor="accent1" w:themeShade="BF"/>
        </w:rPr>
        <w:t>5% of the construction activity budget</w:t>
      </w:r>
      <w:r w:rsidR="00ED4963" w:rsidRPr="002E66C3">
        <w:rPr>
          <w:color w:val="365F91" w:themeColor="accent1" w:themeShade="BF"/>
        </w:rPr>
        <w:t>(s)</w:t>
      </w:r>
      <w:r w:rsidRPr="002E66C3">
        <w:rPr>
          <w:color w:val="365F91" w:themeColor="accent1" w:themeShade="BF"/>
        </w:rPr>
        <w:t>.</w:t>
      </w:r>
    </w:p>
    <w:p w14:paraId="6B1366C1" w14:textId="77777777" w:rsidR="00120C3A" w:rsidRDefault="00120C3A" w:rsidP="001C693A"/>
    <w:p w14:paraId="0132385F" w14:textId="34142DDC" w:rsidR="00740224" w:rsidRPr="002E66C3" w:rsidRDefault="00740224" w:rsidP="00740224">
      <w:pPr>
        <w:rPr>
          <w:b/>
          <w:bCs/>
          <w:color w:val="365F91" w:themeColor="accent1" w:themeShade="BF"/>
        </w:rPr>
      </w:pPr>
      <w:r w:rsidRPr="002E66C3">
        <w:rPr>
          <w:b/>
          <w:bCs/>
          <w:color w:val="365F91" w:themeColor="accent1" w:themeShade="BF"/>
        </w:rPr>
        <w:t>Group C Documents</w:t>
      </w:r>
    </w:p>
    <w:p w14:paraId="7EA932DB" w14:textId="77777777" w:rsidR="00740224" w:rsidRPr="002E66C3" w:rsidRDefault="00740224" w:rsidP="00740224">
      <w:pPr>
        <w:pStyle w:val="1BODY-Arial11"/>
        <w:rPr>
          <w:color w:val="365F91" w:themeColor="accent1" w:themeShade="BF"/>
        </w:rPr>
      </w:pPr>
      <w:r w:rsidRPr="002E66C3">
        <w:rPr>
          <w:color w:val="365F91" w:themeColor="accent1" w:themeShade="BF"/>
        </w:rPr>
        <w:t xml:space="preserve">Once all Group C documents have been approved by TDA staff, the Grant Recipient may request the following, as costs are actually incurred: </w:t>
      </w:r>
    </w:p>
    <w:p w14:paraId="3C10EB0E" w14:textId="77777777" w:rsidR="00740224" w:rsidRPr="002E66C3" w:rsidRDefault="00740224" w:rsidP="00740224">
      <w:pPr>
        <w:pStyle w:val="2Bulletedlist-Arial11"/>
        <w:spacing w:line="240" w:lineRule="auto"/>
        <w:rPr>
          <w:color w:val="365F91" w:themeColor="accent1" w:themeShade="BF"/>
        </w:rPr>
      </w:pPr>
      <w:r w:rsidRPr="002E66C3">
        <w:rPr>
          <w:color w:val="365F91" w:themeColor="accent1" w:themeShade="BF"/>
        </w:rPr>
        <w:t>Up to 95% of the construction activity budget(s).</w:t>
      </w:r>
    </w:p>
    <w:p w14:paraId="61B61544" w14:textId="77777777" w:rsidR="00740224" w:rsidRDefault="00740224" w:rsidP="00E54478">
      <w:pPr>
        <w:pStyle w:val="3Arial11"/>
      </w:pPr>
    </w:p>
    <w:p w14:paraId="76DBEE51" w14:textId="1C7F7B9E" w:rsidR="00D6689B" w:rsidRPr="00416887" w:rsidRDefault="00D6689B" w:rsidP="00E54478">
      <w:pPr>
        <w:pStyle w:val="3Arial11"/>
      </w:pPr>
      <w:r w:rsidRPr="00416887">
        <w:t>Construction Retainage</w:t>
      </w:r>
      <w:r w:rsidR="00A11A4F" w:rsidRPr="00416887">
        <w:t xml:space="preserve"> for Multiple Contractors</w:t>
      </w:r>
    </w:p>
    <w:p w14:paraId="1B40E1CD" w14:textId="55190767" w:rsidR="009B3AE5" w:rsidRDefault="002C4110" w:rsidP="001C693A">
      <w:r w:rsidRPr="00B6664D">
        <w:t xml:space="preserve">In addition to the grant budget funding retention for the overall construction activity(s), Grant Recipients that have awarded multiple construction </w:t>
      </w:r>
      <w:r w:rsidR="003E127A">
        <w:t>agreements</w:t>
      </w:r>
      <w:r w:rsidRPr="00B6664D">
        <w:t xml:space="preserve"> must retain </w:t>
      </w:r>
      <w:r w:rsidR="000621C1">
        <w:t xml:space="preserve">at least </w:t>
      </w:r>
      <w:r w:rsidRPr="00B6664D">
        <w:t xml:space="preserve">5% of each prime </w:t>
      </w:r>
      <w:r w:rsidR="003E127A">
        <w:t>agreement</w:t>
      </w:r>
      <w:r w:rsidRPr="00B6664D">
        <w:t xml:space="preserve">. </w:t>
      </w:r>
      <w:r w:rsidR="00A11A4F" w:rsidRPr="00B6664D">
        <w:t xml:space="preserve">However, TDA will allow release of this retainage upon completion of the TDA-GO </w:t>
      </w:r>
      <w:r w:rsidR="005F29AB" w:rsidRPr="00B6664D">
        <w:t>MSR</w:t>
      </w:r>
      <w:r w:rsidR="00A11A4F" w:rsidRPr="00B6664D">
        <w:t xml:space="preserve"> for a specific contractor, so long as 5% of the total construction activity budget line is retained until all </w:t>
      </w:r>
      <w:r w:rsidR="00D90162">
        <w:t>G</w:t>
      </w:r>
      <w:r w:rsidR="00A11A4F" w:rsidRPr="00B6664D">
        <w:t>roup C requirements are satisfied.</w:t>
      </w:r>
    </w:p>
    <w:p w14:paraId="1B5350FF" w14:textId="77777777" w:rsidR="009B3AE5" w:rsidRDefault="009B3AE5" w:rsidP="00E54478"/>
    <w:p w14:paraId="37AB24A2" w14:textId="51548A1D" w:rsidR="002C2A7D" w:rsidRPr="00B6664D" w:rsidRDefault="00EC3FF6" w:rsidP="001C693A">
      <w:r>
        <w:t>T</w:t>
      </w:r>
      <w:r w:rsidR="00125CE0">
        <w:t>he Grant Recipient must ensure that contractors have sati</w:t>
      </w:r>
      <w:r w:rsidR="00765A25">
        <w:t>s</w:t>
      </w:r>
      <w:r w:rsidR="00125CE0">
        <w:t xml:space="preserve">factorily fulfilled all provisions of the </w:t>
      </w:r>
      <w:r w:rsidR="00E062D2">
        <w:t xml:space="preserve">construction </w:t>
      </w:r>
      <w:r w:rsidR="003E127A">
        <w:t>agreement</w:t>
      </w:r>
      <w:r w:rsidR="00125CE0">
        <w:t xml:space="preserve">, including resolution of any punch list items, </w:t>
      </w:r>
      <w:r w:rsidR="0052396D">
        <w:t xml:space="preserve">the </w:t>
      </w:r>
      <w:r w:rsidR="00125CE0">
        <w:t xml:space="preserve">clean-up phase of the project, and payment of any </w:t>
      </w:r>
      <w:r w:rsidR="0052396D">
        <w:t xml:space="preserve">payroll </w:t>
      </w:r>
      <w:r w:rsidR="00125CE0">
        <w:t xml:space="preserve">restitution or liquidated damages owed in accordance with </w:t>
      </w:r>
      <w:r w:rsidR="0080526B">
        <w:t xml:space="preserve">the </w:t>
      </w:r>
      <w:r w:rsidR="00125CE0">
        <w:t>Davis-Bacon</w:t>
      </w:r>
      <w:r w:rsidR="0080526B">
        <w:t xml:space="preserve"> Act</w:t>
      </w:r>
      <w:r w:rsidR="00125CE0">
        <w:t xml:space="preserve"> and </w:t>
      </w:r>
      <w:r w:rsidR="0080526B">
        <w:t>r</w:t>
      </w:r>
      <w:r w:rsidR="00125CE0">
        <w:t xml:space="preserve">elated </w:t>
      </w:r>
      <w:r w:rsidR="0080526B">
        <w:t>federal and state law</w:t>
      </w:r>
      <w:r w:rsidR="00125CE0">
        <w:t>.</w:t>
      </w:r>
    </w:p>
    <w:p w14:paraId="335E2AB0" w14:textId="77777777" w:rsidR="00D6689B" w:rsidRDefault="00D6689B" w:rsidP="00E544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0"/>
          <w:szCs w:val="22"/>
          <w:u w:val="single"/>
        </w:rPr>
      </w:pPr>
    </w:p>
    <w:p w14:paraId="0CE13037" w14:textId="77777777" w:rsidR="002E66C3" w:rsidRPr="00BF375E" w:rsidRDefault="002E66C3" w:rsidP="00E544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0"/>
          <w:szCs w:val="22"/>
          <w:u w:val="single"/>
        </w:rPr>
      </w:pPr>
    </w:p>
    <w:p w14:paraId="11A9F97B" w14:textId="41B20C8D" w:rsidR="00556ECB" w:rsidRPr="002E66C3" w:rsidRDefault="009113FF" w:rsidP="00E54478">
      <w:pPr>
        <w:pStyle w:val="3Arial11"/>
        <w:rPr>
          <w:color w:val="365F91" w:themeColor="accent1" w:themeShade="BF"/>
        </w:rPr>
      </w:pPr>
      <w:r w:rsidRPr="002E66C3">
        <w:rPr>
          <w:rStyle w:val="ui-provider"/>
          <w:color w:val="365F91" w:themeColor="accent1" w:themeShade="BF"/>
        </w:rPr>
        <w:t xml:space="preserve">Construction Complete </w:t>
      </w:r>
      <w:r w:rsidRPr="002E66C3">
        <w:rPr>
          <w:color w:val="365F91" w:themeColor="accent1" w:themeShade="BF"/>
        </w:rPr>
        <w:t xml:space="preserve">Group Documents </w:t>
      </w:r>
      <w:r w:rsidR="00556ECB" w:rsidRPr="002E66C3">
        <w:rPr>
          <w:color w:val="365F91" w:themeColor="accent1" w:themeShade="BF"/>
        </w:rPr>
        <w:t xml:space="preserve"> </w:t>
      </w:r>
    </w:p>
    <w:p w14:paraId="7E220BA5" w14:textId="1DA35954" w:rsidR="00A11A4F" w:rsidRPr="006B3D72" w:rsidRDefault="00A11A4F" w:rsidP="00EF0491">
      <w:r w:rsidRPr="006B3D72">
        <w:t xml:space="preserve">Once all </w:t>
      </w:r>
      <w:r w:rsidR="002E66C3" w:rsidRPr="002E66C3">
        <w:rPr>
          <w:color w:val="365F91" w:themeColor="accent1" w:themeShade="BF"/>
        </w:rPr>
        <w:t xml:space="preserve">Construction Complete </w:t>
      </w:r>
      <w:r w:rsidRPr="002E66C3">
        <w:rPr>
          <w:color w:val="365F91" w:themeColor="accent1" w:themeShade="BF"/>
        </w:rPr>
        <w:t xml:space="preserve">Group </w:t>
      </w:r>
      <w:r w:rsidRPr="006B3D72">
        <w:t xml:space="preserve">requirements have been </w:t>
      </w:r>
      <w:r w:rsidR="005B1180">
        <w:t>approved</w:t>
      </w:r>
      <w:r w:rsidR="005B1180" w:rsidRPr="002A0BB9">
        <w:t xml:space="preserve"> </w:t>
      </w:r>
      <w:r w:rsidR="005B1180">
        <w:t>by TDA staff</w:t>
      </w:r>
      <w:r w:rsidRPr="006B3D72">
        <w:t xml:space="preserve">, the Grant Recipient may request the following, as costs are actually incurred: </w:t>
      </w:r>
    </w:p>
    <w:p w14:paraId="707BFAC7" w14:textId="132AAE0B" w:rsidR="00A11A4F" w:rsidRDefault="00A11A4F" w:rsidP="00E54478">
      <w:pPr>
        <w:pStyle w:val="2Bulletedlist-Arial11"/>
        <w:spacing w:line="240" w:lineRule="auto"/>
      </w:pPr>
      <w:r>
        <w:t>Up to 100% of the engineering budget; and</w:t>
      </w:r>
    </w:p>
    <w:p w14:paraId="46F8F07F" w14:textId="701B0D7E" w:rsidR="00A11A4F" w:rsidRDefault="00A11A4F" w:rsidP="00E54478">
      <w:pPr>
        <w:pStyle w:val="2Bulletedlist-Arial11"/>
        <w:spacing w:line="240" w:lineRule="auto"/>
      </w:pPr>
      <w:r>
        <w:t>Up to 100% of the construction activity budget(s).</w:t>
      </w:r>
    </w:p>
    <w:p w14:paraId="1FBD44EE" w14:textId="77777777" w:rsidR="00B46AD9" w:rsidRDefault="00B46AD9" w:rsidP="00E54478">
      <w:pPr>
        <w:pStyle w:val="2Bulletedlist-Arial11"/>
        <w:numPr>
          <w:ilvl w:val="0"/>
          <w:numId w:val="0"/>
        </w:numPr>
        <w:spacing w:line="240" w:lineRule="auto"/>
      </w:pPr>
    </w:p>
    <w:p w14:paraId="07506AAD" w14:textId="278A91A1" w:rsidR="009113FF" w:rsidRPr="002E66C3" w:rsidRDefault="009113FF" w:rsidP="009113FF">
      <w:pPr>
        <w:pStyle w:val="3Arial11"/>
        <w:rPr>
          <w:color w:val="365F91" w:themeColor="accent1" w:themeShade="BF"/>
        </w:rPr>
      </w:pPr>
      <w:r w:rsidRPr="002E66C3">
        <w:rPr>
          <w:rStyle w:val="ui-provider"/>
          <w:color w:val="365F91" w:themeColor="accent1" w:themeShade="BF"/>
        </w:rPr>
        <w:t xml:space="preserve">Project Complete Group </w:t>
      </w:r>
      <w:r w:rsidRPr="002E66C3">
        <w:rPr>
          <w:color w:val="365F91" w:themeColor="accent1" w:themeShade="BF"/>
        </w:rPr>
        <w:t xml:space="preserve">Documents </w:t>
      </w:r>
    </w:p>
    <w:p w14:paraId="1251D707" w14:textId="7A1AA749" w:rsidR="00B46AD9" w:rsidRPr="00206C86" w:rsidRDefault="00B46AD9" w:rsidP="00E54478">
      <w:pPr>
        <w:pStyle w:val="2Bulletedlist-Arial11"/>
        <w:numPr>
          <w:ilvl w:val="0"/>
          <w:numId w:val="0"/>
        </w:numPr>
        <w:spacing w:line="240" w:lineRule="auto"/>
      </w:pPr>
      <w:r w:rsidRPr="00206C86">
        <w:t xml:space="preserve">Once all </w:t>
      </w:r>
      <w:r w:rsidR="002E66C3" w:rsidRPr="002E66C3">
        <w:rPr>
          <w:color w:val="365F91" w:themeColor="accent1" w:themeShade="BF"/>
        </w:rPr>
        <w:t xml:space="preserve">Project Complete </w:t>
      </w:r>
      <w:r w:rsidRPr="002E66C3">
        <w:rPr>
          <w:color w:val="365F91" w:themeColor="accent1" w:themeShade="BF"/>
        </w:rPr>
        <w:t xml:space="preserve">Group </w:t>
      </w:r>
      <w:r w:rsidRPr="00206C86">
        <w:t xml:space="preserve">requirements have been </w:t>
      </w:r>
      <w:r w:rsidR="005B1180">
        <w:t>approved</w:t>
      </w:r>
      <w:r w:rsidR="005B1180" w:rsidRPr="002A0BB9">
        <w:t xml:space="preserve"> </w:t>
      </w:r>
      <w:r w:rsidR="005B1180">
        <w:t>by TDA staff</w:t>
      </w:r>
      <w:r w:rsidRPr="00206C86">
        <w:t xml:space="preserve">, the Grant Recipient may request up to 100% of the </w:t>
      </w:r>
      <w:r w:rsidR="00636F08">
        <w:t>administration</w:t>
      </w:r>
      <w:r w:rsidRPr="00206C86">
        <w:t xml:space="preserve"> budget.</w:t>
      </w:r>
    </w:p>
    <w:p w14:paraId="68B2D2ED" w14:textId="77777777" w:rsidR="00B46AD9" w:rsidRPr="00206C86" w:rsidRDefault="00B46AD9" w:rsidP="001C693A"/>
    <w:p w14:paraId="0720F6F5" w14:textId="25ECF73E" w:rsidR="007D24FA" w:rsidRDefault="004F604A" w:rsidP="00EF0491">
      <w:r w:rsidRPr="00547F55">
        <w:t>T</w:t>
      </w:r>
      <w:r w:rsidR="00B46AD9" w:rsidRPr="00547F55">
        <w:t xml:space="preserve">he payment request for the final </w:t>
      </w:r>
      <w:r w:rsidR="00636F08">
        <w:t>administration</w:t>
      </w:r>
      <w:r w:rsidR="00B46AD9" w:rsidRPr="00547F55">
        <w:t xml:space="preserve"> costs must be submitted no later than </w:t>
      </w:r>
      <w:r w:rsidR="001C693A">
        <w:t>sixty (</w:t>
      </w:r>
      <w:r w:rsidR="00B46AD9" w:rsidRPr="00547F55">
        <w:t>60</w:t>
      </w:r>
      <w:r w:rsidR="001C693A">
        <w:t>)</w:t>
      </w:r>
      <w:r w:rsidR="00B46AD9" w:rsidRPr="00547F55">
        <w:t xml:space="preserve"> days after the </w:t>
      </w:r>
      <w:r w:rsidR="0080050B">
        <w:t>Grant Agreement</w:t>
      </w:r>
      <w:r w:rsidR="00B46AD9" w:rsidRPr="00547F55">
        <w:t xml:space="preserve"> end date</w:t>
      </w:r>
      <w:r w:rsidR="005B1180">
        <w:t xml:space="preserve"> </w:t>
      </w:r>
      <w:r w:rsidR="00EC3FF6">
        <w:t>and</w:t>
      </w:r>
      <w:r w:rsidR="005B1180">
        <w:t xml:space="preserve"> BEFORE submission of </w:t>
      </w:r>
      <w:r w:rsidR="00FB7713">
        <w:t xml:space="preserve">the </w:t>
      </w:r>
      <w:r w:rsidR="005B1180">
        <w:t>Project Completion Report</w:t>
      </w:r>
      <w:r w:rsidR="001E5604" w:rsidRPr="00547F55">
        <w:t xml:space="preserve">. </w:t>
      </w:r>
      <w:r w:rsidR="00EC3FF6">
        <w:t xml:space="preserve">The TDA-GO Payment Request cannot be submitted once the </w:t>
      </w:r>
      <w:r w:rsidR="006A707C">
        <w:t>c</w:t>
      </w:r>
      <w:r w:rsidR="00EC3FF6">
        <w:t>loseout process is begun</w:t>
      </w:r>
      <w:r w:rsidR="0003486E">
        <w:t>; however</w:t>
      </w:r>
      <w:r w:rsidR="00BA1D7E">
        <w:t>,</w:t>
      </w:r>
      <w:r w:rsidR="0003486E">
        <w:t xml:space="preserve"> </w:t>
      </w:r>
      <w:r w:rsidR="00EC3FF6">
        <w:t xml:space="preserve">approval </w:t>
      </w:r>
      <w:r w:rsidR="0003486E">
        <w:t xml:space="preserve">and processing </w:t>
      </w:r>
      <w:r w:rsidR="00EC3FF6">
        <w:t>of the payment may</w:t>
      </w:r>
      <w:r w:rsidR="00F54C99">
        <w:t xml:space="preserve"> occur after the </w:t>
      </w:r>
      <w:r w:rsidR="0080050B">
        <w:t>Grant Agreement</w:t>
      </w:r>
      <w:r w:rsidR="00F54C99">
        <w:t xml:space="preserve"> is determined to be </w:t>
      </w:r>
      <w:r w:rsidR="001C693A">
        <w:t>“</w:t>
      </w:r>
      <w:r w:rsidR="00FB7713" w:rsidRPr="002401B7">
        <w:rPr>
          <w:i/>
          <w:iCs/>
        </w:rPr>
        <w:t>Grant Closed</w:t>
      </w:r>
      <w:r w:rsidR="001C693A">
        <w:rPr>
          <w:i/>
          <w:iCs/>
        </w:rPr>
        <w:t>”</w:t>
      </w:r>
      <w:r w:rsidR="00FB7713">
        <w:t xml:space="preserve"> (formally referred to as </w:t>
      </w:r>
      <w:r w:rsidR="001C693A">
        <w:t>“</w:t>
      </w:r>
      <w:r w:rsidR="00FB7713" w:rsidRPr="002401B7">
        <w:rPr>
          <w:i/>
          <w:iCs/>
        </w:rPr>
        <w:t>Administratively Complete</w:t>
      </w:r>
      <w:r w:rsidR="001C693A">
        <w:rPr>
          <w:i/>
          <w:iCs/>
        </w:rPr>
        <w:t>”</w:t>
      </w:r>
      <w:r w:rsidR="00FB7713">
        <w:t>)</w:t>
      </w:r>
      <w:r w:rsidR="00785856">
        <w:t>, s</w:t>
      </w:r>
      <w:r w:rsidR="00B46AD9" w:rsidRPr="00547F55">
        <w:t>ee</w:t>
      </w:r>
      <w:r w:rsidR="00B46AD9" w:rsidRPr="00206C86">
        <w:t xml:space="preserve"> </w:t>
      </w:r>
      <w:r w:rsidR="00B46AD9" w:rsidRPr="00206C86">
        <w:rPr>
          <w:i/>
          <w:iCs/>
        </w:rPr>
        <w:t>Chapter 12</w:t>
      </w:r>
      <w:r w:rsidR="00FD0EEA">
        <w:rPr>
          <w:i/>
          <w:iCs/>
        </w:rPr>
        <w:t xml:space="preserve"> </w:t>
      </w:r>
      <w:r w:rsidR="0080050B">
        <w:rPr>
          <w:i/>
          <w:iCs/>
        </w:rPr>
        <w:t>Grant Agreement</w:t>
      </w:r>
      <w:r w:rsidR="00FD0EEA">
        <w:rPr>
          <w:i/>
          <w:iCs/>
        </w:rPr>
        <w:t xml:space="preserve"> Closeout</w:t>
      </w:r>
      <w:r w:rsidR="00B46AD9">
        <w:t>.</w:t>
      </w:r>
    </w:p>
    <w:p w14:paraId="233AD7A6" w14:textId="77777777" w:rsidR="00B6664D" w:rsidRDefault="00B6664D" w:rsidP="00E54478">
      <w:pPr>
        <w:pStyle w:val="2Bulletedlist-Arial11"/>
        <w:numPr>
          <w:ilvl w:val="0"/>
          <w:numId w:val="0"/>
        </w:numPr>
        <w:spacing w:line="240" w:lineRule="auto"/>
        <w:ind w:left="720" w:hanging="360"/>
      </w:pPr>
    </w:p>
    <w:tbl>
      <w:tblPr>
        <w:tblStyle w:val="TableGrid"/>
        <w:tblW w:w="0" w:type="auto"/>
        <w:jc w:val="center"/>
        <w:tblLook w:val="04A0" w:firstRow="1" w:lastRow="0" w:firstColumn="1" w:lastColumn="0" w:noHBand="0" w:noVBand="1"/>
      </w:tblPr>
      <w:tblGrid>
        <w:gridCol w:w="7244"/>
        <w:gridCol w:w="2248"/>
      </w:tblGrid>
      <w:tr w:rsidR="00B46AD9" w14:paraId="5321EF89" w14:textId="77777777" w:rsidTr="00516A2D">
        <w:trPr>
          <w:trHeight w:val="199"/>
          <w:jc w:val="center"/>
        </w:trPr>
        <w:tc>
          <w:tcPr>
            <w:tcW w:w="7244" w:type="dxa"/>
            <w:vAlign w:val="center"/>
          </w:tcPr>
          <w:p w14:paraId="28F7397C" w14:textId="77777777" w:rsidR="00B46AD9" w:rsidRPr="00B13298" w:rsidRDefault="00B46AD9" w:rsidP="00E54478">
            <w:pPr>
              <w:jc w:val="center"/>
              <w:rPr>
                <w:rFonts w:cs="Arial"/>
                <w:b/>
                <w:sz w:val="28"/>
                <w:szCs w:val="28"/>
              </w:rPr>
            </w:pPr>
            <w:r>
              <w:rPr>
                <w:rFonts w:cs="Arial"/>
                <w:b/>
                <w:sz w:val="28"/>
                <w:szCs w:val="28"/>
              </w:rPr>
              <w:t xml:space="preserve">Summary of Funding </w:t>
            </w:r>
            <w:r w:rsidRPr="00B13298">
              <w:rPr>
                <w:rFonts w:cs="Arial"/>
                <w:b/>
                <w:sz w:val="28"/>
                <w:szCs w:val="28"/>
              </w:rPr>
              <w:t>Threshold</w:t>
            </w:r>
            <w:r>
              <w:rPr>
                <w:rFonts w:cs="Arial"/>
                <w:b/>
                <w:sz w:val="28"/>
                <w:szCs w:val="28"/>
              </w:rPr>
              <w:t>s</w:t>
            </w:r>
          </w:p>
        </w:tc>
        <w:tc>
          <w:tcPr>
            <w:tcW w:w="2248" w:type="dxa"/>
          </w:tcPr>
          <w:p w14:paraId="2F650FF5" w14:textId="77777777" w:rsidR="00B46AD9" w:rsidRPr="00A7284B" w:rsidRDefault="00B46AD9" w:rsidP="00E54478">
            <w:pPr>
              <w:jc w:val="center"/>
              <w:rPr>
                <w:rFonts w:cs="Arial"/>
                <w:b/>
                <w:szCs w:val="22"/>
              </w:rPr>
            </w:pPr>
            <w:r w:rsidRPr="00A7284B">
              <w:rPr>
                <w:rFonts w:cs="Arial"/>
                <w:b/>
                <w:szCs w:val="22"/>
              </w:rPr>
              <w:t>Grant Budget Available</w:t>
            </w:r>
          </w:p>
        </w:tc>
      </w:tr>
      <w:tr w:rsidR="00B46AD9" w14:paraId="11FDF11A" w14:textId="77777777" w:rsidTr="00516A2D">
        <w:trPr>
          <w:trHeight w:val="350"/>
          <w:jc w:val="center"/>
        </w:trPr>
        <w:tc>
          <w:tcPr>
            <w:tcW w:w="9492" w:type="dxa"/>
            <w:gridSpan w:val="2"/>
            <w:vAlign w:val="center"/>
          </w:tcPr>
          <w:p w14:paraId="57EF4A30" w14:textId="77777777" w:rsidR="00B46AD9" w:rsidRPr="00A7284B" w:rsidRDefault="00B46AD9" w:rsidP="00E54478">
            <w:pPr>
              <w:rPr>
                <w:rFonts w:cs="Arial"/>
                <w:b/>
                <w:szCs w:val="22"/>
              </w:rPr>
            </w:pPr>
            <w:r w:rsidRPr="00A7284B">
              <w:rPr>
                <w:rFonts w:cs="Arial"/>
                <w:b/>
                <w:szCs w:val="22"/>
              </w:rPr>
              <w:t>General Administration Grant Budget</w:t>
            </w:r>
          </w:p>
        </w:tc>
      </w:tr>
      <w:tr w:rsidR="00B46AD9" w14:paraId="1F3B5055" w14:textId="77777777" w:rsidTr="00516A2D">
        <w:trPr>
          <w:trHeight w:val="269"/>
          <w:jc w:val="center"/>
        </w:trPr>
        <w:tc>
          <w:tcPr>
            <w:tcW w:w="7244" w:type="dxa"/>
            <w:vAlign w:val="center"/>
          </w:tcPr>
          <w:p w14:paraId="561727DE" w14:textId="63560C91" w:rsidR="00B46AD9" w:rsidRPr="00CB0E51" w:rsidRDefault="00B46AD9" w:rsidP="00E54478">
            <w:pPr>
              <w:rPr>
                <w:rFonts w:cs="Arial"/>
                <w:sz w:val="18"/>
                <w:szCs w:val="18"/>
              </w:rPr>
            </w:pPr>
            <w:r w:rsidRPr="00CB0E51">
              <w:rPr>
                <w:rFonts w:cs="Arial"/>
                <w:sz w:val="18"/>
                <w:szCs w:val="18"/>
              </w:rPr>
              <w:t xml:space="preserve">     Acceptance of all Group A </w:t>
            </w:r>
            <w:r w:rsidR="005B20E4">
              <w:rPr>
                <w:rFonts w:cs="Arial"/>
                <w:sz w:val="18"/>
                <w:szCs w:val="18"/>
              </w:rPr>
              <w:t>d</w:t>
            </w:r>
            <w:r w:rsidRPr="00CB0E51">
              <w:rPr>
                <w:rFonts w:cs="Arial"/>
                <w:sz w:val="18"/>
                <w:szCs w:val="18"/>
              </w:rPr>
              <w:t>ocuments</w:t>
            </w:r>
          </w:p>
        </w:tc>
        <w:tc>
          <w:tcPr>
            <w:tcW w:w="2248" w:type="dxa"/>
            <w:vAlign w:val="center"/>
          </w:tcPr>
          <w:p w14:paraId="51615D0B" w14:textId="77777777" w:rsidR="00B46AD9" w:rsidRPr="00DD5A7C" w:rsidRDefault="00B46AD9" w:rsidP="00E54478">
            <w:pPr>
              <w:jc w:val="center"/>
              <w:rPr>
                <w:rFonts w:cs="Arial"/>
                <w:sz w:val="18"/>
                <w:szCs w:val="18"/>
              </w:rPr>
            </w:pPr>
            <w:r w:rsidRPr="00DD5A7C">
              <w:rPr>
                <w:rFonts w:cs="Arial"/>
                <w:sz w:val="18"/>
                <w:szCs w:val="18"/>
              </w:rPr>
              <w:t>0 to 50%</w:t>
            </w:r>
          </w:p>
        </w:tc>
      </w:tr>
      <w:tr w:rsidR="00B46AD9" w14:paraId="1D6E2C0F" w14:textId="77777777" w:rsidTr="00516A2D">
        <w:trPr>
          <w:trHeight w:val="278"/>
          <w:jc w:val="center"/>
        </w:trPr>
        <w:tc>
          <w:tcPr>
            <w:tcW w:w="7244" w:type="dxa"/>
            <w:vAlign w:val="center"/>
          </w:tcPr>
          <w:p w14:paraId="41857E7B" w14:textId="173579FD" w:rsidR="00B46AD9" w:rsidRPr="00CB0E51" w:rsidRDefault="00B46AD9" w:rsidP="00E54478">
            <w:pPr>
              <w:rPr>
                <w:rFonts w:cs="Arial"/>
                <w:sz w:val="18"/>
                <w:szCs w:val="18"/>
              </w:rPr>
            </w:pPr>
            <w:r w:rsidRPr="00CB0E51">
              <w:rPr>
                <w:rFonts w:cs="Arial"/>
                <w:sz w:val="18"/>
                <w:szCs w:val="18"/>
              </w:rPr>
              <w:t xml:space="preserve">     Acceptance of all Groups A </w:t>
            </w:r>
            <w:r>
              <w:rPr>
                <w:rFonts w:cs="Arial"/>
                <w:sz w:val="18"/>
                <w:szCs w:val="18"/>
              </w:rPr>
              <w:t xml:space="preserve">and </w:t>
            </w:r>
            <w:r w:rsidRPr="00CB0E51">
              <w:rPr>
                <w:rFonts w:cs="Arial"/>
                <w:sz w:val="18"/>
                <w:szCs w:val="18"/>
              </w:rPr>
              <w:t xml:space="preserve">B </w:t>
            </w:r>
            <w:r w:rsidR="005B20E4">
              <w:rPr>
                <w:rFonts w:cs="Arial"/>
                <w:sz w:val="18"/>
                <w:szCs w:val="18"/>
              </w:rPr>
              <w:t>d</w:t>
            </w:r>
            <w:r w:rsidRPr="00CB0E51">
              <w:rPr>
                <w:rFonts w:cs="Arial"/>
                <w:sz w:val="18"/>
                <w:szCs w:val="18"/>
              </w:rPr>
              <w:t>ocuments</w:t>
            </w:r>
          </w:p>
        </w:tc>
        <w:tc>
          <w:tcPr>
            <w:tcW w:w="2248" w:type="dxa"/>
            <w:vAlign w:val="center"/>
          </w:tcPr>
          <w:p w14:paraId="395217F7" w14:textId="77777777" w:rsidR="00B46AD9" w:rsidRPr="00DD5A7C" w:rsidRDefault="00B46AD9" w:rsidP="00E54478">
            <w:pPr>
              <w:jc w:val="center"/>
              <w:rPr>
                <w:rFonts w:cs="Arial"/>
                <w:sz w:val="18"/>
                <w:szCs w:val="18"/>
              </w:rPr>
            </w:pPr>
            <w:r w:rsidRPr="00DD5A7C">
              <w:rPr>
                <w:rFonts w:cs="Arial"/>
                <w:sz w:val="18"/>
                <w:szCs w:val="18"/>
              </w:rPr>
              <w:t>51 to 90%</w:t>
            </w:r>
          </w:p>
        </w:tc>
      </w:tr>
      <w:tr w:rsidR="00B46AD9" w14:paraId="57141497" w14:textId="77777777" w:rsidTr="00516A2D">
        <w:trPr>
          <w:trHeight w:val="278"/>
          <w:jc w:val="center"/>
        </w:trPr>
        <w:tc>
          <w:tcPr>
            <w:tcW w:w="7244" w:type="dxa"/>
            <w:vAlign w:val="center"/>
          </w:tcPr>
          <w:p w14:paraId="269D004F" w14:textId="2216B885" w:rsidR="00B46AD9" w:rsidRPr="00CB0E51" w:rsidRDefault="00B46AD9" w:rsidP="00E54478">
            <w:pPr>
              <w:ind w:left="240" w:hanging="240"/>
              <w:rPr>
                <w:rFonts w:cs="Arial"/>
                <w:sz w:val="18"/>
                <w:szCs w:val="18"/>
              </w:rPr>
            </w:pPr>
            <w:r w:rsidRPr="00CB0E51">
              <w:rPr>
                <w:rFonts w:cs="Arial"/>
                <w:sz w:val="18"/>
                <w:szCs w:val="18"/>
              </w:rPr>
              <w:t xml:space="preserve">     </w:t>
            </w:r>
            <w:r w:rsidR="004F604A">
              <w:rPr>
                <w:rFonts w:cs="Arial"/>
                <w:sz w:val="18"/>
                <w:szCs w:val="18"/>
              </w:rPr>
              <w:t xml:space="preserve">Acceptance of all </w:t>
            </w:r>
            <w:r w:rsidR="00231AC0" w:rsidRPr="002E66C3">
              <w:rPr>
                <w:rFonts w:cs="Arial"/>
                <w:color w:val="365F91" w:themeColor="accent1" w:themeShade="BF"/>
                <w:sz w:val="18"/>
                <w:szCs w:val="18"/>
              </w:rPr>
              <w:t xml:space="preserve">Project Complete </w:t>
            </w:r>
            <w:r w:rsidR="004F604A" w:rsidRPr="002E66C3">
              <w:rPr>
                <w:rFonts w:cs="Arial"/>
                <w:color w:val="365F91" w:themeColor="accent1" w:themeShade="BF"/>
                <w:sz w:val="18"/>
                <w:szCs w:val="18"/>
              </w:rPr>
              <w:t xml:space="preserve">Group </w:t>
            </w:r>
            <w:r w:rsidR="005B20E4">
              <w:rPr>
                <w:rFonts w:cs="Arial"/>
                <w:sz w:val="18"/>
                <w:szCs w:val="18"/>
              </w:rPr>
              <w:t>d</w:t>
            </w:r>
            <w:r w:rsidR="004F604A">
              <w:rPr>
                <w:rFonts w:cs="Arial"/>
                <w:sz w:val="18"/>
                <w:szCs w:val="18"/>
              </w:rPr>
              <w:t xml:space="preserve">ocuments </w:t>
            </w:r>
            <w:r w:rsidR="00F54C99">
              <w:rPr>
                <w:rFonts w:cs="Arial"/>
                <w:sz w:val="18"/>
                <w:szCs w:val="18"/>
              </w:rPr>
              <w:t>(approved after</w:t>
            </w:r>
            <w:r w:rsidR="004F604A">
              <w:rPr>
                <w:rFonts w:cs="Arial"/>
                <w:sz w:val="18"/>
                <w:szCs w:val="18"/>
              </w:rPr>
              <w:t xml:space="preserve"> </w:t>
            </w:r>
            <w:r w:rsidRPr="00CB0E51">
              <w:rPr>
                <w:rFonts w:cs="Arial"/>
                <w:sz w:val="18"/>
                <w:szCs w:val="18"/>
              </w:rPr>
              <w:t xml:space="preserve">Issuance of </w:t>
            </w:r>
            <w:r w:rsidR="00231AC0">
              <w:rPr>
                <w:rFonts w:cs="Arial"/>
                <w:sz w:val="18"/>
                <w:szCs w:val="18"/>
              </w:rPr>
              <w:t>Grant Closed</w:t>
            </w:r>
            <w:r w:rsidRPr="00CB0E51">
              <w:rPr>
                <w:rFonts w:cs="Arial"/>
                <w:sz w:val="18"/>
                <w:szCs w:val="18"/>
              </w:rPr>
              <w:t xml:space="preserve"> </w:t>
            </w:r>
            <w:r w:rsidR="00F54C99">
              <w:rPr>
                <w:rFonts w:cs="Arial"/>
                <w:sz w:val="18"/>
                <w:szCs w:val="18"/>
              </w:rPr>
              <w:t>notice</w:t>
            </w:r>
            <w:r w:rsidR="00F54C99" w:rsidRPr="00CB0E51">
              <w:rPr>
                <w:rFonts w:cs="Arial"/>
                <w:sz w:val="18"/>
                <w:szCs w:val="18"/>
              </w:rPr>
              <w:t xml:space="preserve"> </w:t>
            </w:r>
            <w:r w:rsidRPr="00CB0E51">
              <w:rPr>
                <w:rFonts w:cs="Arial"/>
                <w:sz w:val="18"/>
                <w:szCs w:val="18"/>
              </w:rPr>
              <w:t>by TDA</w:t>
            </w:r>
            <w:r w:rsidR="00F54C99">
              <w:rPr>
                <w:rFonts w:cs="Arial"/>
                <w:sz w:val="18"/>
                <w:szCs w:val="18"/>
              </w:rPr>
              <w:t>)</w:t>
            </w:r>
          </w:p>
        </w:tc>
        <w:tc>
          <w:tcPr>
            <w:tcW w:w="2248" w:type="dxa"/>
            <w:vAlign w:val="center"/>
          </w:tcPr>
          <w:p w14:paraId="7021ADC3" w14:textId="77777777" w:rsidR="00B46AD9" w:rsidRPr="00DD5A7C" w:rsidRDefault="00B46AD9" w:rsidP="00E54478">
            <w:pPr>
              <w:jc w:val="center"/>
              <w:rPr>
                <w:rFonts w:cs="Arial"/>
                <w:sz w:val="18"/>
                <w:szCs w:val="18"/>
              </w:rPr>
            </w:pPr>
            <w:r w:rsidRPr="00DD5A7C">
              <w:rPr>
                <w:rFonts w:cs="Arial"/>
                <w:sz w:val="18"/>
                <w:szCs w:val="18"/>
              </w:rPr>
              <w:t>91 to 100%</w:t>
            </w:r>
          </w:p>
        </w:tc>
      </w:tr>
      <w:tr w:rsidR="00B46AD9" w14:paraId="79243E99" w14:textId="77777777" w:rsidTr="00516A2D">
        <w:trPr>
          <w:trHeight w:val="575"/>
          <w:jc w:val="center"/>
        </w:trPr>
        <w:tc>
          <w:tcPr>
            <w:tcW w:w="9492" w:type="dxa"/>
            <w:gridSpan w:val="2"/>
            <w:vAlign w:val="center"/>
          </w:tcPr>
          <w:p w14:paraId="3866BD59" w14:textId="77777777" w:rsidR="00B46AD9" w:rsidRPr="00A7284B" w:rsidRDefault="00B46AD9" w:rsidP="00E54478">
            <w:pPr>
              <w:rPr>
                <w:rFonts w:cs="Arial"/>
                <w:b/>
                <w:szCs w:val="22"/>
              </w:rPr>
            </w:pPr>
            <w:r w:rsidRPr="00A7284B">
              <w:rPr>
                <w:rFonts w:cs="Arial"/>
                <w:b/>
                <w:szCs w:val="22"/>
              </w:rPr>
              <w:t>Engineering Grant Budget</w:t>
            </w:r>
          </w:p>
          <w:p w14:paraId="587AC6AA" w14:textId="3B0EBFB8" w:rsidR="00B46AD9" w:rsidRPr="002401B7" w:rsidRDefault="00B46AD9" w:rsidP="00E54478">
            <w:pPr>
              <w:rPr>
                <w:rFonts w:cs="Arial"/>
                <w:sz w:val="18"/>
                <w:szCs w:val="18"/>
              </w:rPr>
            </w:pPr>
            <w:r w:rsidRPr="002401B7">
              <w:rPr>
                <w:rFonts w:cs="Arial"/>
                <w:sz w:val="18"/>
                <w:szCs w:val="18"/>
              </w:rPr>
              <w:t>(</w:t>
            </w:r>
            <w:r w:rsidR="003E127A" w:rsidRPr="002401B7">
              <w:rPr>
                <w:rFonts w:cs="Arial"/>
                <w:sz w:val="18"/>
                <w:szCs w:val="18"/>
              </w:rPr>
              <w:t>Multiple</w:t>
            </w:r>
            <w:r w:rsidRPr="002401B7">
              <w:rPr>
                <w:rFonts w:cs="Arial"/>
                <w:sz w:val="18"/>
                <w:szCs w:val="18"/>
              </w:rPr>
              <w:t xml:space="preserve"> line items may be considered cumulatively to determine thresholds)</w:t>
            </w:r>
          </w:p>
        </w:tc>
      </w:tr>
      <w:tr w:rsidR="00B46AD9" w14:paraId="4056434B" w14:textId="77777777" w:rsidTr="00516A2D">
        <w:trPr>
          <w:trHeight w:val="296"/>
          <w:jc w:val="center"/>
        </w:trPr>
        <w:tc>
          <w:tcPr>
            <w:tcW w:w="7244" w:type="dxa"/>
            <w:vAlign w:val="center"/>
          </w:tcPr>
          <w:p w14:paraId="7E82616C" w14:textId="650376B9" w:rsidR="00B46AD9" w:rsidRPr="00DE675D" w:rsidRDefault="00B46AD9" w:rsidP="00E54478">
            <w:pPr>
              <w:rPr>
                <w:rFonts w:cs="Arial"/>
                <w:sz w:val="18"/>
                <w:szCs w:val="18"/>
              </w:rPr>
            </w:pPr>
            <w:r w:rsidRPr="00DE675D">
              <w:rPr>
                <w:rFonts w:cs="Arial"/>
                <w:sz w:val="18"/>
                <w:szCs w:val="18"/>
              </w:rPr>
              <w:t xml:space="preserve">     Acceptance of all Group A </w:t>
            </w:r>
            <w:r w:rsidR="005B20E4">
              <w:rPr>
                <w:rFonts w:cs="Arial"/>
                <w:sz w:val="18"/>
                <w:szCs w:val="18"/>
              </w:rPr>
              <w:t>d</w:t>
            </w:r>
            <w:r w:rsidRPr="00DE675D">
              <w:rPr>
                <w:rFonts w:cs="Arial"/>
                <w:sz w:val="18"/>
                <w:szCs w:val="18"/>
              </w:rPr>
              <w:t>ocuments</w:t>
            </w:r>
          </w:p>
        </w:tc>
        <w:tc>
          <w:tcPr>
            <w:tcW w:w="2248" w:type="dxa"/>
            <w:vAlign w:val="center"/>
          </w:tcPr>
          <w:p w14:paraId="6AE07786" w14:textId="77777777" w:rsidR="00B46AD9" w:rsidRPr="00DD5A7C" w:rsidRDefault="00B46AD9" w:rsidP="00E54478">
            <w:pPr>
              <w:jc w:val="center"/>
              <w:rPr>
                <w:rFonts w:cs="Arial"/>
                <w:sz w:val="18"/>
                <w:szCs w:val="18"/>
              </w:rPr>
            </w:pPr>
            <w:r w:rsidRPr="00DD5A7C">
              <w:rPr>
                <w:rFonts w:cs="Arial"/>
                <w:sz w:val="18"/>
                <w:szCs w:val="18"/>
              </w:rPr>
              <w:t>0 to 50%</w:t>
            </w:r>
          </w:p>
        </w:tc>
      </w:tr>
      <w:tr w:rsidR="00B46AD9" w14:paraId="39BD22D7" w14:textId="77777777" w:rsidTr="00516A2D">
        <w:trPr>
          <w:trHeight w:val="341"/>
          <w:jc w:val="center"/>
        </w:trPr>
        <w:tc>
          <w:tcPr>
            <w:tcW w:w="7244" w:type="dxa"/>
            <w:vAlign w:val="center"/>
          </w:tcPr>
          <w:p w14:paraId="48607893" w14:textId="681A437B" w:rsidR="00B46AD9" w:rsidRPr="00DE675D" w:rsidRDefault="00B46AD9" w:rsidP="00E54478">
            <w:pPr>
              <w:rPr>
                <w:rFonts w:cs="Arial"/>
                <w:sz w:val="18"/>
                <w:szCs w:val="18"/>
              </w:rPr>
            </w:pPr>
            <w:r w:rsidRPr="00DE675D">
              <w:rPr>
                <w:rFonts w:cs="Arial"/>
                <w:sz w:val="18"/>
                <w:szCs w:val="18"/>
              </w:rPr>
              <w:t xml:space="preserve">     Acceptance of all Group A and Group B </w:t>
            </w:r>
            <w:r w:rsidR="005B20E4">
              <w:rPr>
                <w:rFonts w:cs="Arial"/>
                <w:sz w:val="18"/>
                <w:szCs w:val="18"/>
              </w:rPr>
              <w:t>d</w:t>
            </w:r>
            <w:r w:rsidRPr="00DE675D">
              <w:rPr>
                <w:rFonts w:cs="Arial"/>
                <w:sz w:val="18"/>
                <w:szCs w:val="18"/>
              </w:rPr>
              <w:t>ocuments</w:t>
            </w:r>
          </w:p>
        </w:tc>
        <w:tc>
          <w:tcPr>
            <w:tcW w:w="2248" w:type="dxa"/>
            <w:vAlign w:val="center"/>
          </w:tcPr>
          <w:p w14:paraId="37FE818F" w14:textId="77777777" w:rsidR="00B46AD9" w:rsidRPr="00DD5A7C" w:rsidRDefault="00B46AD9" w:rsidP="00E54478">
            <w:pPr>
              <w:jc w:val="center"/>
              <w:rPr>
                <w:rFonts w:cs="Arial"/>
                <w:sz w:val="18"/>
                <w:szCs w:val="18"/>
              </w:rPr>
            </w:pPr>
            <w:r w:rsidRPr="00DD5A7C">
              <w:rPr>
                <w:rFonts w:cs="Arial"/>
                <w:sz w:val="18"/>
                <w:szCs w:val="18"/>
              </w:rPr>
              <w:t>51 to 90%</w:t>
            </w:r>
          </w:p>
        </w:tc>
      </w:tr>
      <w:tr w:rsidR="00B46AD9" w14:paraId="29649BF3" w14:textId="77777777" w:rsidTr="00516A2D">
        <w:trPr>
          <w:trHeight w:val="755"/>
          <w:jc w:val="center"/>
        </w:trPr>
        <w:tc>
          <w:tcPr>
            <w:tcW w:w="7244" w:type="dxa"/>
            <w:vAlign w:val="center"/>
          </w:tcPr>
          <w:p w14:paraId="055E7081" w14:textId="4026FBC7" w:rsidR="00547F55" w:rsidRPr="005B20E4" w:rsidRDefault="00B46AD9" w:rsidP="00E54478">
            <w:pPr>
              <w:ind w:left="240"/>
              <w:rPr>
                <w:rFonts w:cs="Arial"/>
                <w:color w:val="0D0D0D" w:themeColor="text1" w:themeTint="F2"/>
                <w:sz w:val="18"/>
                <w:szCs w:val="18"/>
              </w:rPr>
            </w:pPr>
            <w:r w:rsidRPr="00B631E4">
              <w:rPr>
                <w:rFonts w:cs="Arial"/>
                <w:sz w:val="18"/>
                <w:szCs w:val="18"/>
              </w:rPr>
              <w:t xml:space="preserve">Acceptance of all </w:t>
            </w:r>
            <w:r w:rsidR="002E66C3" w:rsidRPr="002E66C3">
              <w:rPr>
                <w:rFonts w:cs="Arial"/>
                <w:color w:val="365F91" w:themeColor="accent1" w:themeShade="BF"/>
                <w:sz w:val="18"/>
                <w:szCs w:val="18"/>
              </w:rPr>
              <w:t>Construction Complete Group documents</w:t>
            </w:r>
            <w:r w:rsidR="004F1C54" w:rsidRPr="002E66C3">
              <w:rPr>
                <w:rFonts w:cs="Arial"/>
                <w:color w:val="365F91" w:themeColor="accent1" w:themeShade="BF"/>
                <w:sz w:val="18"/>
                <w:szCs w:val="18"/>
              </w:rPr>
              <w:t xml:space="preserve"> </w:t>
            </w:r>
            <w:r w:rsidRPr="005B20E4">
              <w:rPr>
                <w:rFonts w:cs="Arial"/>
                <w:sz w:val="18"/>
                <w:szCs w:val="18"/>
              </w:rPr>
              <w:t>and any</w:t>
            </w:r>
            <w:r w:rsidR="002401B7">
              <w:rPr>
                <w:rFonts w:cs="Arial"/>
                <w:sz w:val="18"/>
                <w:szCs w:val="18"/>
              </w:rPr>
              <w:t xml:space="preserve"> </w:t>
            </w:r>
            <w:r w:rsidRPr="005B20E4">
              <w:rPr>
                <w:rFonts w:cs="Arial"/>
                <w:sz w:val="18"/>
                <w:szCs w:val="18"/>
              </w:rPr>
              <w:t xml:space="preserve">regulatory approvals required by the </w:t>
            </w:r>
            <w:r w:rsidR="0080050B">
              <w:rPr>
                <w:rFonts w:cs="Arial"/>
                <w:sz w:val="18"/>
                <w:szCs w:val="18"/>
              </w:rPr>
              <w:t>Grant Agreement</w:t>
            </w:r>
            <w:r w:rsidRPr="005B20E4">
              <w:rPr>
                <w:rFonts w:cs="Arial"/>
                <w:sz w:val="18"/>
                <w:szCs w:val="18"/>
              </w:rPr>
              <w:t xml:space="preserve">, such as </w:t>
            </w:r>
            <w:r w:rsidR="00B631E4" w:rsidRPr="005B20E4">
              <w:rPr>
                <w:rFonts w:cs="Arial"/>
                <w:color w:val="0D0D0D" w:themeColor="text1" w:themeTint="F2"/>
                <w:sz w:val="18"/>
                <w:szCs w:val="18"/>
              </w:rPr>
              <w:t>Texas</w:t>
            </w:r>
            <w:r w:rsidR="00547F55" w:rsidRPr="005B20E4">
              <w:rPr>
                <w:rFonts w:cs="Arial"/>
                <w:color w:val="0D0D0D" w:themeColor="text1" w:themeTint="F2"/>
                <w:sz w:val="18"/>
                <w:szCs w:val="18"/>
              </w:rPr>
              <w:t xml:space="preserve"> </w:t>
            </w:r>
          </w:p>
          <w:p w14:paraId="0CA0C80B" w14:textId="77777777" w:rsidR="00547F55" w:rsidRPr="005B20E4" w:rsidRDefault="00547F55" w:rsidP="00E54478">
            <w:pPr>
              <w:rPr>
                <w:rFonts w:cs="Arial"/>
                <w:color w:val="0D0D0D" w:themeColor="text1" w:themeTint="F2"/>
                <w:sz w:val="18"/>
                <w:szCs w:val="18"/>
                <w:shd w:val="clear" w:color="auto" w:fill="FFFFFF"/>
              </w:rPr>
            </w:pPr>
            <w:r w:rsidRPr="005B20E4">
              <w:rPr>
                <w:rFonts w:cs="Arial"/>
                <w:b/>
                <w:bCs/>
                <w:color w:val="0D0D0D" w:themeColor="text1" w:themeTint="F2"/>
                <w:sz w:val="18"/>
                <w:szCs w:val="18"/>
              </w:rPr>
              <w:t xml:space="preserve">     </w:t>
            </w:r>
            <w:r w:rsidR="00B631E4" w:rsidRPr="005B20E4">
              <w:rPr>
                <w:rFonts w:cs="Arial"/>
                <w:color w:val="0D0D0D" w:themeColor="text1" w:themeTint="F2"/>
                <w:sz w:val="18"/>
                <w:szCs w:val="18"/>
              </w:rPr>
              <w:t>Commission</w:t>
            </w:r>
            <w:r w:rsidR="001E5604" w:rsidRPr="005B20E4">
              <w:rPr>
                <w:rFonts w:cs="Arial"/>
                <w:color w:val="0D0D0D" w:themeColor="text1" w:themeTint="F2"/>
                <w:sz w:val="18"/>
                <w:szCs w:val="18"/>
              </w:rPr>
              <w:t xml:space="preserve"> </w:t>
            </w:r>
            <w:r w:rsidR="00B631E4" w:rsidRPr="005B20E4">
              <w:rPr>
                <w:rFonts w:cs="Arial"/>
                <w:color w:val="0D0D0D" w:themeColor="text1" w:themeTint="F2"/>
                <w:sz w:val="18"/>
                <w:szCs w:val="18"/>
              </w:rPr>
              <w:t xml:space="preserve">on Environmental Quality </w:t>
            </w:r>
            <w:r w:rsidR="00B631E4" w:rsidRPr="005B20E4">
              <w:rPr>
                <w:rFonts w:cs="Arial"/>
                <w:sz w:val="18"/>
                <w:szCs w:val="18"/>
              </w:rPr>
              <w:t>(</w:t>
            </w:r>
            <w:r w:rsidR="00B46AD9" w:rsidRPr="005B20E4">
              <w:rPr>
                <w:rFonts w:cs="Arial"/>
                <w:sz w:val="18"/>
                <w:szCs w:val="18"/>
              </w:rPr>
              <w:t>TCEQ</w:t>
            </w:r>
            <w:r w:rsidR="00B631E4" w:rsidRPr="005B20E4">
              <w:rPr>
                <w:rFonts w:cs="Arial"/>
                <w:sz w:val="18"/>
                <w:szCs w:val="18"/>
              </w:rPr>
              <w:t>)</w:t>
            </w:r>
            <w:r w:rsidR="00B46AD9" w:rsidRPr="005B20E4">
              <w:rPr>
                <w:rFonts w:cs="Arial"/>
                <w:sz w:val="18"/>
                <w:szCs w:val="18"/>
              </w:rPr>
              <w:t xml:space="preserve"> interim well approvals or </w:t>
            </w:r>
            <w:r w:rsidR="00B631E4" w:rsidRPr="005B20E4">
              <w:rPr>
                <w:rFonts w:cs="Arial"/>
                <w:color w:val="0D0D0D" w:themeColor="text1" w:themeTint="F2"/>
                <w:sz w:val="18"/>
                <w:szCs w:val="18"/>
                <w:shd w:val="clear" w:color="auto" w:fill="FFFFFF"/>
              </w:rPr>
              <w:t xml:space="preserve">Texas </w:t>
            </w:r>
          </w:p>
          <w:p w14:paraId="305A9E46" w14:textId="262F8027" w:rsidR="00B46AD9" w:rsidRPr="00547F55" w:rsidRDefault="00547F55" w:rsidP="00E54478">
            <w:pPr>
              <w:rPr>
                <w:rFonts w:cs="Arial"/>
                <w:color w:val="0D0D0D" w:themeColor="text1" w:themeTint="F2"/>
                <w:sz w:val="18"/>
                <w:szCs w:val="18"/>
              </w:rPr>
            </w:pPr>
            <w:r w:rsidRPr="005B20E4">
              <w:rPr>
                <w:rFonts w:cs="Arial"/>
                <w:color w:val="0D0D0D" w:themeColor="text1" w:themeTint="F2"/>
                <w:sz w:val="18"/>
                <w:szCs w:val="18"/>
                <w:shd w:val="clear" w:color="auto" w:fill="FFFFFF"/>
              </w:rPr>
              <w:t xml:space="preserve">     </w:t>
            </w:r>
            <w:r w:rsidR="00B631E4" w:rsidRPr="005B20E4">
              <w:rPr>
                <w:rFonts w:cs="Arial"/>
                <w:color w:val="0D0D0D" w:themeColor="text1" w:themeTint="F2"/>
                <w:sz w:val="18"/>
                <w:szCs w:val="18"/>
                <w:shd w:val="clear" w:color="auto" w:fill="FFFFFF"/>
              </w:rPr>
              <w:t>Department of Licensing and Regulation</w:t>
            </w:r>
            <w:r w:rsidR="00B631E4" w:rsidRPr="005B20E4">
              <w:rPr>
                <w:rFonts w:cs="Arial"/>
                <w:sz w:val="18"/>
                <w:szCs w:val="18"/>
              </w:rPr>
              <w:t xml:space="preserve"> (</w:t>
            </w:r>
            <w:r w:rsidR="00B46AD9" w:rsidRPr="005B20E4">
              <w:rPr>
                <w:rFonts w:cs="Arial"/>
                <w:sz w:val="18"/>
                <w:szCs w:val="18"/>
              </w:rPr>
              <w:t>TDLR</w:t>
            </w:r>
            <w:r w:rsidR="00B631E4" w:rsidRPr="005B20E4">
              <w:rPr>
                <w:rFonts w:cs="Arial"/>
                <w:sz w:val="18"/>
                <w:szCs w:val="18"/>
              </w:rPr>
              <w:t>)</w:t>
            </w:r>
            <w:r w:rsidR="00B46AD9" w:rsidRPr="005B20E4">
              <w:rPr>
                <w:rFonts w:cs="Arial"/>
                <w:sz w:val="18"/>
                <w:szCs w:val="18"/>
              </w:rPr>
              <w:t xml:space="preserve"> inspections</w:t>
            </w:r>
          </w:p>
        </w:tc>
        <w:tc>
          <w:tcPr>
            <w:tcW w:w="2248" w:type="dxa"/>
            <w:vAlign w:val="center"/>
          </w:tcPr>
          <w:p w14:paraId="4E6C1AC3" w14:textId="13D30884" w:rsidR="00B46AD9" w:rsidRDefault="00F54C99" w:rsidP="00E54478">
            <w:pPr>
              <w:jc w:val="center"/>
              <w:rPr>
                <w:rFonts w:cs="Arial"/>
                <w:sz w:val="18"/>
                <w:szCs w:val="18"/>
              </w:rPr>
            </w:pPr>
            <w:r>
              <w:rPr>
                <w:rFonts w:cs="Arial"/>
                <w:sz w:val="18"/>
                <w:szCs w:val="18"/>
              </w:rPr>
              <w:t>91% to 100%</w:t>
            </w:r>
          </w:p>
          <w:p w14:paraId="1F76BE05" w14:textId="06BEFA24" w:rsidR="00547F55" w:rsidRPr="00DD5A7C" w:rsidRDefault="00547F55" w:rsidP="00E54478">
            <w:pPr>
              <w:jc w:val="center"/>
              <w:rPr>
                <w:rFonts w:cs="Arial"/>
                <w:sz w:val="18"/>
                <w:szCs w:val="18"/>
              </w:rPr>
            </w:pPr>
          </w:p>
        </w:tc>
      </w:tr>
      <w:tr w:rsidR="00B46AD9" w14:paraId="336F7631" w14:textId="77777777" w:rsidTr="00516A2D">
        <w:trPr>
          <w:trHeight w:val="368"/>
          <w:jc w:val="center"/>
        </w:trPr>
        <w:tc>
          <w:tcPr>
            <w:tcW w:w="9492" w:type="dxa"/>
            <w:gridSpan w:val="2"/>
            <w:vAlign w:val="center"/>
          </w:tcPr>
          <w:p w14:paraId="13BF781C" w14:textId="77777777" w:rsidR="00B46AD9" w:rsidRPr="00A7284B" w:rsidRDefault="00B46AD9" w:rsidP="00E54478">
            <w:pPr>
              <w:rPr>
                <w:rFonts w:cs="Arial"/>
                <w:szCs w:val="22"/>
              </w:rPr>
            </w:pPr>
            <w:r w:rsidRPr="00A7284B">
              <w:rPr>
                <w:rFonts w:cs="Arial"/>
                <w:b/>
                <w:szCs w:val="22"/>
              </w:rPr>
              <w:t>Construction Grant Budget</w:t>
            </w:r>
            <w:r>
              <w:rPr>
                <w:rFonts w:cs="Arial"/>
                <w:b/>
                <w:szCs w:val="22"/>
              </w:rPr>
              <w:t>(s)</w:t>
            </w:r>
          </w:p>
        </w:tc>
      </w:tr>
      <w:tr w:rsidR="00B46AD9" w14:paraId="412D33A1" w14:textId="77777777" w:rsidTr="00516A2D">
        <w:trPr>
          <w:trHeight w:val="323"/>
          <w:jc w:val="center"/>
        </w:trPr>
        <w:tc>
          <w:tcPr>
            <w:tcW w:w="7244" w:type="dxa"/>
            <w:vAlign w:val="center"/>
          </w:tcPr>
          <w:p w14:paraId="561617D8" w14:textId="3CF227EA" w:rsidR="00B46AD9" w:rsidRPr="004A3D91" w:rsidRDefault="00B46AD9" w:rsidP="00E54478">
            <w:pPr>
              <w:rPr>
                <w:rFonts w:cs="Arial"/>
                <w:sz w:val="18"/>
                <w:szCs w:val="18"/>
              </w:rPr>
            </w:pPr>
            <w:r>
              <w:rPr>
                <w:rFonts w:cs="Arial"/>
                <w:szCs w:val="22"/>
              </w:rPr>
              <w:t xml:space="preserve">     </w:t>
            </w:r>
            <w:r w:rsidRPr="004A3D91">
              <w:rPr>
                <w:rFonts w:cs="Arial"/>
                <w:sz w:val="18"/>
                <w:szCs w:val="18"/>
              </w:rPr>
              <w:t xml:space="preserve">Acceptance of all Group A and Group B </w:t>
            </w:r>
            <w:r w:rsidR="005B20E4">
              <w:rPr>
                <w:rFonts w:cs="Arial"/>
                <w:sz w:val="18"/>
                <w:szCs w:val="18"/>
              </w:rPr>
              <w:t>d</w:t>
            </w:r>
            <w:r w:rsidRPr="004A3D91">
              <w:rPr>
                <w:rFonts w:cs="Arial"/>
                <w:sz w:val="18"/>
                <w:szCs w:val="18"/>
              </w:rPr>
              <w:t>ocuments</w:t>
            </w:r>
          </w:p>
        </w:tc>
        <w:tc>
          <w:tcPr>
            <w:tcW w:w="2248" w:type="dxa"/>
            <w:vAlign w:val="center"/>
          </w:tcPr>
          <w:p w14:paraId="289D9A17" w14:textId="5B71E6E3" w:rsidR="00B46AD9" w:rsidRPr="002E66C3" w:rsidRDefault="00B46AD9" w:rsidP="00E54478">
            <w:pPr>
              <w:jc w:val="center"/>
              <w:rPr>
                <w:rFonts w:cs="Arial"/>
                <w:color w:val="365F91" w:themeColor="accent1" w:themeShade="BF"/>
                <w:sz w:val="18"/>
                <w:szCs w:val="18"/>
              </w:rPr>
            </w:pPr>
            <w:r w:rsidRPr="002E66C3">
              <w:rPr>
                <w:rFonts w:cs="Arial"/>
                <w:color w:val="365F91" w:themeColor="accent1" w:themeShade="BF"/>
                <w:sz w:val="18"/>
                <w:szCs w:val="18"/>
              </w:rPr>
              <w:t xml:space="preserve">0 to </w:t>
            </w:r>
            <w:r w:rsidR="00FD2462" w:rsidRPr="002E66C3">
              <w:rPr>
                <w:rFonts w:cs="Arial"/>
                <w:color w:val="365F91" w:themeColor="accent1" w:themeShade="BF"/>
                <w:sz w:val="18"/>
                <w:szCs w:val="18"/>
              </w:rPr>
              <w:t>75</w:t>
            </w:r>
            <w:r w:rsidRPr="002E66C3">
              <w:rPr>
                <w:rFonts w:cs="Arial"/>
                <w:color w:val="365F91" w:themeColor="accent1" w:themeShade="BF"/>
                <w:sz w:val="18"/>
                <w:szCs w:val="18"/>
              </w:rPr>
              <w:t>%</w:t>
            </w:r>
          </w:p>
        </w:tc>
      </w:tr>
      <w:tr w:rsidR="00B46AD9" w14:paraId="3ED455FD" w14:textId="77777777" w:rsidTr="00516A2D">
        <w:trPr>
          <w:trHeight w:val="332"/>
          <w:jc w:val="center"/>
        </w:trPr>
        <w:tc>
          <w:tcPr>
            <w:tcW w:w="7244" w:type="dxa"/>
            <w:vAlign w:val="center"/>
          </w:tcPr>
          <w:p w14:paraId="7E228811" w14:textId="50208FD1" w:rsidR="00B46AD9" w:rsidRPr="004A3D91" w:rsidRDefault="00B46AD9" w:rsidP="00E54478">
            <w:pPr>
              <w:rPr>
                <w:rFonts w:cs="Arial"/>
                <w:sz w:val="18"/>
                <w:szCs w:val="18"/>
              </w:rPr>
            </w:pPr>
            <w:r>
              <w:rPr>
                <w:rFonts w:cs="Arial"/>
                <w:szCs w:val="22"/>
              </w:rPr>
              <w:t xml:space="preserve">     </w:t>
            </w:r>
            <w:r w:rsidRPr="004A3D91">
              <w:rPr>
                <w:rFonts w:cs="Arial"/>
                <w:sz w:val="18"/>
                <w:szCs w:val="18"/>
              </w:rPr>
              <w:t xml:space="preserve">Acceptance of all Group A, Group B, and Group C </w:t>
            </w:r>
            <w:r w:rsidR="005B20E4">
              <w:rPr>
                <w:rFonts w:cs="Arial"/>
                <w:sz w:val="18"/>
                <w:szCs w:val="18"/>
              </w:rPr>
              <w:t>d</w:t>
            </w:r>
            <w:r w:rsidRPr="004A3D91">
              <w:rPr>
                <w:rFonts w:cs="Arial"/>
                <w:sz w:val="18"/>
                <w:szCs w:val="18"/>
              </w:rPr>
              <w:t xml:space="preserve">ocuments </w:t>
            </w:r>
          </w:p>
        </w:tc>
        <w:tc>
          <w:tcPr>
            <w:tcW w:w="2248" w:type="dxa"/>
            <w:vAlign w:val="center"/>
          </w:tcPr>
          <w:p w14:paraId="0DCAF98D" w14:textId="269B8C2C" w:rsidR="00B46AD9" w:rsidRPr="002E66C3" w:rsidRDefault="00FD2462" w:rsidP="00E54478">
            <w:pPr>
              <w:jc w:val="center"/>
              <w:rPr>
                <w:rFonts w:cs="Arial"/>
                <w:color w:val="365F91" w:themeColor="accent1" w:themeShade="BF"/>
                <w:sz w:val="18"/>
                <w:szCs w:val="18"/>
              </w:rPr>
            </w:pPr>
            <w:r w:rsidRPr="002E66C3">
              <w:rPr>
                <w:rFonts w:cs="Arial"/>
                <w:color w:val="365F91" w:themeColor="accent1" w:themeShade="BF"/>
                <w:sz w:val="18"/>
                <w:szCs w:val="18"/>
              </w:rPr>
              <w:t>7</w:t>
            </w:r>
            <w:r w:rsidR="00B46AD9" w:rsidRPr="002E66C3">
              <w:rPr>
                <w:rFonts w:cs="Arial"/>
                <w:color w:val="365F91" w:themeColor="accent1" w:themeShade="BF"/>
                <w:sz w:val="18"/>
                <w:szCs w:val="18"/>
              </w:rPr>
              <w:t xml:space="preserve">6% to </w:t>
            </w:r>
            <w:r w:rsidRPr="002E66C3">
              <w:rPr>
                <w:rFonts w:cs="Arial"/>
                <w:color w:val="365F91" w:themeColor="accent1" w:themeShade="BF"/>
                <w:sz w:val="18"/>
                <w:szCs w:val="18"/>
              </w:rPr>
              <w:t>95</w:t>
            </w:r>
            <w:r w:rsidR="00B46AD9" w:rsidRPr="002E66C3">
              <w:rPr>
                <w:rFonts w:cs="Arial"/>
                <w:color w:val="365F91" w:themeColor="accent1" w:themeShade="BF"/>
                <w:sz w:val="18"/>
                <w:szCs w:val="18"/>
              </w:rPr>
              <w:t>%</w:t>
            </w:r>
          </w:p>
        </w:tc>
      </w:tr>
      <w:tr w:rsidR="00FD2462" w14:paraId="07BA5FD5" w14:textId="77777777" w:rsidTr="00516A2D">
        <w:trPr>
          <w:trHeight w:val="332"/>
          <w:jc w:val="center"/>
        </w:trPr>
        <w:tc>
          <w:tcPr>
            <w:tcW w:w="7244" w:type="dxa"/>
            <w:vAlign w:val="center"/>
          </w:tcPr>
          <w:p w14:paraId="057B3FB4" w14:textId="77777777" w:rsidR="002E66C3" w:rsidRDefault="002E66C3" w:rsidP="00E54478">
            <w:pPr>
              <w:rPr>
                <w:rFonts w:cs="Arial"/>
                <w:color w:val="365F91" w:themeColor="accent1" w:themeShade="BF"/>
                <w:sz w:val="18"/>
                <w:szCs w:val="18"/>
              </w:rPr>
            </w:pPr>
            <w:r>
              <w:rPr>
                <w:rFonts w:cs="Arial"/>
                <w:color w:val="365F91" w:themeColor="accent1" w:themeShade="BF"/>
                <w:sz w:val="18"/>
                <w:szCs w:val="18"/>
              </w:rPr>
              <w:t xml:space="preserve">      </w:t>
            </w:r>
            <w:r w:rsidR="00FD2462" w:rsidRPr="002E66C3">
              <w:rPr>
                <w:rFonts w:cs="Arial"/>
                <w:color w:val="365F91" w:themeColor="accent1" w:themeShade="BF"/>
                <w:sz w:val="18"/>
                <w:szCs w:val="18"/>
              </w:rPr>
              <w:t>Acceptance of all Group A, Group B, Group C</w:t>
            </w:r>
            <w:r w:rsidR="00E61B66" w:rsidRPr="002E66C3">
              <w:rPr>
                <w:rFonts w:cs="Arial"/>
                <w:color w:val="365F91" w:themeColor="accent1" w:themeShade="BF"/>
                <w:sz w:val="18"/>
                <w:szCs w:val="18"/>
              </w:rPr>
              <w:t>,</w:t>
            </w:r>
            <w:r w:rsidR="00FD2462" w:rsidRPr="002E66C3">
              <w:rPr>
                <w:rFonts w:cs="Arial"/>
                <w:color w:val="365F91" w:themeColor="accent1" w:themeShade="BF"/>
                <w:sz w:val="18"/>
                <w:szCs w:val="18"/>
              </w:rPr>
              <w:t xml:space="preserve"> and </w:t>
            </w:r>
            <w:r w:rsidR="00231AC0" w:rsidRPr="002E66C3">
              <w:rPr>
                <w:rFonts w:cs="Arial"/>
                <w:color w:val="365F91" w:themeColor="accent1" w:themeShade="BF"/>
                <w:sz w:val="18"/>
                <w:szCs w:val="18"/>
              </w:rPr>
              <w:t xml:space="preserve">Construction Complete </w:t>
            </w:r>
            <w:r w:rsidR="00FD2462" w:rsidRPr="002E66C3">
              <w:rPr>
                <w:rFonts w:cs="Arial"/>
                <w:color w:val="365F91" w:themeColor="accent1" w:themeShade="BF"/>
                <w:sz w:val="18"/>
                <w:szCs w:val="18"/>
              </w:rPr>
              <w:t xml:space="preserve">Group </w:t>
            </w:r>
            <w:r>
              <w:rPr>
                <w:rFonts w:cs="Arial"/>
                <w:color w:val="365F91" w:themeColor="accent1" w:themeShade="BF"/>
                <w:sz w:val="18"/>
                <w:szCs w:val="18"/>
              </w:rPr>
              <w:t xml:space="preserve">    </w:t>
            </w:r>
          </w:p>
          <w:p w14:paraId="3161AC2C" w14:textId="00448EE4" w:rsidR="00FD2462" w:rsidRPr="00231AC0" w:rsidRDefault="002E66C3" w:rsidP="00E54478">
            <w:pPr>
              <w:rPr>
                <w:rFonts w:cs="Arial"/>
                <w:sz w:val="18"/>
                <w:szCs w:val="18"/>
              </w:rPr>
            </w:pPr>
            <w:r>
              <w:rPr>
                <w:rFonts w:cs="Arial"/>
                <w:color w:val="365F91" w:themeColor="accent1" w:themeShade="BF"/>
                <w:sz w:val="18"/>
                <w:szCs w:val="18"/>
              </w:rPr>
              <w:t xml:space="preserve">      </w:t>
            </w:r>
            <w:r w:rsidRPr="002E66C3">
              <w:rPr>
                <w:rFonts w:cs="Arial"/>
                <w:color w:val="365F91" w:themeColor="accent1" w:themeShade="BF"/>
                <w:sz w:val="18"/>
                <w:szCs w:val="18"/>
              </w:rPr>
              <w:t>D</w:t>
            </w:r>
            <w:r w:rsidR="00032970" w:rsidRPr="002E66C3">
              <w:rPr>
                <w:rFonts w:cs="Arial"/>
                <w:color w:val="365F91" w:themeColor="accent1" w:themeShade="BF"/>
                <w:sz w:val="18"/>
                <w:szCs w:val="18"/>
              </w:rPr>
              <w:t>ocuments</w:t>
            </w:r>
          </w:p>
        </w:tc>
        <w:tc>
          <w:tcPr>
            <w:tcW w:w="2248" w:type="dxa"/>
            <w:vAlign w:val="center"/>
          </w:tcPr>
          <w:p w14:paraId="0B16E0CA" w14:textId="13CED38A" w:rsidR="00FD2462" w:rsidRPr="002E66C3" w:rsidRDefault="00FD2462" w:rsidP="00E54478">
            <w:pPr>
              <w:jc w:val="center"/>
              <w:rPr>
                <w:rFonts w:cs="Arial"/>
                <w:color w:val="365F91" w:themeColor="accent1" w:themeShade="BF"/>
                <w:sz w:val="18"/>
                <w:szCs w:val="18"/>
              </w:rPr>
            </w:pPr>
            <w:r w:rsidRPr="002E66C3">
              <w:rPr>
                <w:rFonts w:cs="Arial"/>
                <w:color w:val="365F91" w:themeColor="accent1" w:themeShade="BF"/>
                <w:sz w:val="18"/>
                <w:szCs w:val="18"/>
              </w:rPr>
              <w:t>96% to 100%</w:t>
            </w:r>
          </w:p>
        </w:tc>
      </w:tr>
    </w:tbl>
    <w:p w14:paraId="6FDDA87E" w14:textId="3EEAC3A1" w:rsidR="00B6664D" w:rsidRDefault="00B6664D" w:rsidP="00E54478">
      <w:pPr>
        <w:pStyle w:val="2Bulletedlist-Arial11"/>
        <w:numPr>
          <w:ilvl w:val="0"/>
          <w:numId w:val="0"/>
        </w:numPr>
        <w:spacing w:line="240" w:lineRule="auto"/>
      </w:pPr>
      <w:bookmarkStart w:id="54" w:name="_Toc46134390"/>
      <w:bookmarkStart w:id="55" w:name="_Toc7269261"/>
      <w:bookmarkStart w:id="56" w:name="_Toc38100386"/>
      <w:bookmarkEnd w:id="42"/>
      <w:bookmarkEnd w:id="43"/>
      <w:bookmarkEnd w:id="44"/>
    </w:p>
    <w:p w14:paraId="7F77F6B1" w14:textId="77777777" w:rsidR="002401B7" w:rsidRDefault="002401B7" w:rsidP="00E54478">
      <w:pPr>
        <w:pStyle w:val="2Bulletedlist-Arial11"/>
        <w:numPr>
          <w:ilvl w:val="0"/>
          <w:numId w:val="0"/>
        </w:numPr>
        <w:spacing w:line="240" w:lineRule="auto"/>
      </w:pPr>
    </w:p>
    <w:p w14:paraId="2A8BE842" w14:textId="3E6ECD61" w:rsidR="00DD17EF" w:rsidRPr="00260E6C" w:rsidRDefault="00DD17EF" w:rsidP="00E54478">
      <w:pPr>
        <w:pStyle w:val="Heading1"/>
      </w:pPr>
      <w:bookmarkStart w:id="57" w:name="_Toc46134395"/>
      <w:bookmarkStart w:id="58" w:name="_Toc123110528"/>
      <w:bookmarkStart w:id="59" w:name="_Toc123198157"/>
      <w:bookmarkStart w:id="60" w:name="_Toc123198392"/>
      <w:bookmarkStart w:id="61" w:name="_Toc171781488"/>
      <w:r>
        <w:t>2.3</w:t>
      </w:r>
      <w:r w:rsidRPr="00260E6C">
        <w:t xml:space="preserve"> </w:t>
      </w:r>
      <w:r>
        <w:t>Matching Funds</w:t>
      </w:r>
      <w:bookmarkEnd w:id="57"/>
      <w:bookmarkEnd w:id="58"/>
      <w:bookmarkEnd w:id="59"/>
      <w:bookmarkEnd w:id="60"/>
      <w:bookmarkEnd w:id="61"/>
    </w:p>
    <w:p w14:paraId="1BB7FEF2" w14:textId="77777777" w:rsidR="00DD17EF" w:rsidRDefault="00DD17EF" w:rsidP="001C693A"/>
    <w:p w14:paraId="5FE49076" w14:textId="6986609D" w:rsidR="00DD17EF" w:rsidRDefault="00DD17EF" w:rsidP="001C693A">
      <w:r>
        <w:t>Matching</w:t>
      </w:r>
      <w:r w:rsidRPr="00260E6C">
        <w:t xml:space="preserve"> funds are defined as actual revenues provided by the Grant Recipient or other units of local government in a joint application</w:t>
      </w:r>
      <w:r>
        <w:t xml:space="preserve">, as committed in the </w:t>
      </w:r>
      <w:r w:rsidR="0080050B">
        <w:t>Grant Agreement</w:t>
      </w:r>
      <w:r>
        <w:t xml:space="preserve">. TDA </w:t>
      </w:r>
      <w:r w:rsidR="00785856">
        <w:t xml:space="preserve">encourages </w:t>
      </w:r>
      <w:r>
        <w:t xml:space="preserve">projects that contain matching funds and </w:t>
      </w:r>
      <w:r w:rsidR="00785856">
        <w:t xml:space="preserve">requires </w:t>
      </w:r>
      <w:r>
        <w:t xml:space="preserve">Grant Recipients to meet their match </w:t>
      </w:r>
      <w:r w:rsidR="001060B1">
        <w:t xml:space="preserve">ratio </w:t>
      </w:r>
      <w:r>
        <w:t xml:space="preserve">commitments. Requests to claim force account costs as match funds must comply with </w:t>
      </w:r>
      <w:r w:rsidRPr="00547F55">
        <w:rPr>
          <w:i/>
          <w:iCs/>
        </w:rPr>
        <w:t>Chapter 8</w:t>
      </w:r>
      <w:r w:rsidR="00FD0EEA">
        <w:rPr>
          <w:i/>
          <w:iCs/>
        </w:rPr>
        <w:t xml:space="preserve"> Force Account</w:t>
      </w:r>
      <w:r w:rsidRPr="00547F55">
        <w:rPr>
          <w:i/>
          <w:iCs/>
        </w:rPr>
        <w:t>.</w:t>
      </w:r>
      <w:r>
        <w:t xml:space="preserve"> </w:t>
      </w:r>
    </w:p>
    <w:p w14:paraId="67B6E752" w14:textId="1522A592" w:rsidR="00827FA3" w:rsidRDefault="00827FA3" w:rsidP="00E54478">
      <w:bookmarkStart w:id="62" w:name="_Toc46134396"/>
    </w:p>
    <w:p w14:paraId="28705D4D" w14:textId="6BF56255" w:rsidR="00DD17EF" w:rsidRDefault="00DD17EF" w:rsidP="00E54478">
      <w:pPr>
        <w:pStyle w:val="Heading2"/>
      </w:pPr>
      <w:bookmarkStart w:id="63" w:name="_Toc123110529"/>
      <w:bookmarkStart w:id="64" w:name="_Toc123198158"/>
      <w:bookmarkStart w:id="65" w:name="_Toc123198393"/>
      <w:bookmarkStart w:id="66" w:name="_Toc171781489"/>
      <w:r w:rsidRPr="00260E6C">
        <w:t>2.</w:t>
      </w:r>
      <w:r>
        <w:t>3.1</w:t>
      </w:r>
      <w:r w:rsidRPr="00260E6C">
        <w:t xml:space="preserve"> </w:t>
      </w:r>
      <w:r>
        <w:t>Acceptability of Matching Funds</w:t>
      </w:r>
      <w:bookmarkEnd w:id="62"/>
      <w:bookmarkEnd w:id="63"/>
      <w:bookmarkEnd w:id="64"/>
      <w:bookmarkEnd w:id="65"/>
      <w:bookmarkEnd w:id="66"/>
    </w:p>
    <w:p w14:paraId="79B81CC6" w14:textId="77777777" w:rsidR="00DD17EF" w:rsidRPr="007A2A42" w:rsidRDefault="00DD17EF" w:rsidP="00E54478"/>
    <w:p w14:paraId="2734D4E9" w14:textId="77777777" w:rsidR="00DD17EF" w:rsidRPr="009E0BDF" w:rsidRDefault="00DD17EF" w:rsidP="001C693A">
      <w:r w:rsidRPr="009E0BDF">
        <w:t>Funds can be considered as matching funds only if</w:t>
      </w:r>
      <w:r>
        <w:t xml:space="preserve"> t</w:t>
      </w:r>
      <w:r w:rsidRPr="009E0BDF">
        <w:t xml:space="preserve">he matching funds will be used for: </w:t>
      </w:r>
    </w:p>
    <w:p w14:paraId="30D8C796" w14:textId="1AEA245D" w:rsidR="00DD17EF" w:rsidRPr="009E0BDF" w:rsidRDefault="00D11261" w:rsidP="00E54478">
      <w:pPr>
        <w:pStyle w:val="2Bulletedlist-Arial11"/>
        <w:numPr>
          <w:ilvl w:val="0"/>
          <w:numId w:val="59"/>
        </w:numPr>
        <w:spacing w:line="240" w:lineRule="auto"/>
      </w:pPr>
      <w:r>
        <w:rPr>
          <w:rFonts w:eastAsia="Calibri"/>
        </w:rPr>
        <w:t>A</w:t>
      </w:r>
      <w:r w:rsidR="00DD17EF" w:rsidRPr="009E0BDF">
        <w:rPr>
          <w:rFonts w:eastAsia="Calibri"/>
        </w:rPr>
        <w:t xml:space="preserve">ctivities described in the </w:t>
      </w:r>
      <w:r w:rsidR="00AF7278">
        <w:t xml:space="preserve">Grant Agreement </w:t>
      </w:r>
      <w:r w:rsidR="00DD17EF" w:rsidRPr="009E0BDF">
        <w:rPr>
          <w:rFonts w:eastAsia="Calibri"/>
        </w:rPr>
        <w:t>Performance Statement</w:t>
      </w:r>
      <w:r w:rsidR="009E3E1B">
        <w:rPr>
          <w:rFonts w:eastAsia="Calibri"/>
        </w:rPr>
        <w:t>;</w:t>
      </w:r>
      <w:r w:rsidR="00DD17EF" w:rsidRPr="009E0BDF">
        <w:rPr>
          <w:rFonts w:eastAsia="Calibri"/>
        </w:rPr>
        <w:t xml:space="preserve"> or</w:t>
      </w:r>
    </w:p>
    <w:p w14:paraId="076D9046" w14:textId="19A7F7F8" w:rsidR="00DD17EF" w:rsidRDefault="00D11261" w:rsidP="00E54478">
      <w:pPr>
        <w:pStyle w:val="2Bulletedlist-Arial11"/>
        <w:numPr>
          <w:ilvl w:val="0"/>
          <w:numId w:val="59"/>
        </w:numPr>
        <w:spacing w:line="240" w:lineRule="auto"/>
      </w:pPr>
      <w:r>
        <w:rPr>
          <w:rFonts w:eastAsia="Calibri"/>
        </w:rPr>
        <w:t>A</w:t>
      </w:r>
      <w:r w:rsidR="00DD17EF" w:rsidRPr="009E0BDF">
        <w:rPr>
          <w:rFonts w:eastAsia="Calibri"/>
        </w:rPr>
        <w:t>ctivities that are directly related to supporting the activities proposed for TxCDBG funding.</w:t>
      </w:r>
    </w:p>
    <w:p w14:paraId="11448B8C" w14:textId="77777777" w:rsidR="00DD17EF" w:rsidRDefault="00DD17EF" w:rsidP="00E54478">
      <w:pPr>
        <w:tabs>
          <w:tab w:val="left" w:pos="-1440"/>
          <w:tab w:val="left" w:pos="426"/>
          <w:tab w:val="left" w:pos="852"/>
          <w:tab w:val="left" w:pos="1278"/>
          <w:tab w:val="left" w:pos="1704"/>
          <w:tab w:val="left" w:pos="2130"/>
          <w:tab w:val="left" w:pos="2556"/>
          <w:tab w:val="left" w:pos="2982"/>
          <w:tab w:val="left" w:pos="3408"/>
          <w:tab w:val="left" w:pos="3834"/>
          <w:tab w:val="left" w:pos="4260"/>
          <w:tab w:val="left" w:pos="4686"/>
          <w:tab w:val="left" w:pos="5112"/>
          <w:tab w:val="left" w:pos="5538"/>
          <w:tab w:val="left" w:pos="5964"/>
          <w:tab w:val="left" w:pos="6390"/>
          <w:tab w:val="left" w:pos="6816"/>
          <w:tab w:val="left" w:pos="7242"/>
          <w:tab w:val="left" w:pos="7668"/>
          <w:tab w:val="left" w:pos="8188"/>
          <w:tab w:val="left" w:pos="8690"/>
          <w:tab w:val="left" w:pos="9295"/>
        </w:tabs>
        <w:rPr>
          <w:szCs w:val="22"/>
        </w:rPr>
      </w:pPr>
    </w:p>
    <w:p w14:paraId="37F0AEB0" w14:textId="5BE0B437" w:rsidR="0003486E" w:rsidRPr="002401B7" w:rsidRDefault="00DD17EF" w:rsidP="001C693A">
      <w:pPr>
        <w:rPr>
          <w:b/>
        </w:rPr>
      </w:pPr>
      <w:proofErr w:type="gramStart"/>
      <w:r w:rsidRPr="00827FA3">
        <w:t>Match</w:t>
      </w:r>
      <w:proofErr w:type="gramEnd"/>
      <w:r w:rsidRPr="00827FA3">
        <w:t xml:space="preserve"> can </w:t>
      </w:r>
      <w:r w:rsidR="00FD0EEA" w:rsidRPr="00827FA3">
        <w:t xml:space="preserve">only </w:t>
      </w:r>
      <w:r w:rsidRPr="00827FA3">
        <w:t xml:space="preserve">be considered if the Grant Recipient has used an acceptable and reasonable method to document the value of the match. Except for cash match, the Grant Recipient must submit a schedule which shows how the value of each type of match was determined. </w:t>
      </w:r>
    </w:p>
    <w:p w14:paraId="20E6A6AC" w14:textId="77777777" w:rsidR="0003486E" w:rsidRDefault="0003486E" w:rsidP="001C693A"/>
    <w:p w14:paraId="059E8C19" w14:textId="192A0B21" w:rsidR="00DD17EF" w:rsidRPr="00827FA3" w:rsidRDefault="0003486E" w:rsidP="001C693A">
      <w:r w:rsidRPr="002401B7">
        <w:rPr>
          <w:b/>
        </w:rPr>
        <w:t>NOTE</w:t>
      </w:r>
      <w:r>
        <w:t>: L</w:t>
      </w:r>
      <w:r w:rsidR="00DD17EF" w:rsidRPr="00827FA3">
        <w:t xml:space="preserve">ocal </w:t>
      </w:r>
      <w:proofErr w:type="gramStart"/>
      <w:r w:rsidR="00DD17EF" w:rsidRPr="00827FA3">
        <w:t>match</w:t>
      </w:r>
      <w:proofErr w:type="gramEnd"/>
      <w:r w:rsidR="00DD17EF" w:rsidRPr="00827FA3">
        <w:t xml:space="preserve"> can only be counted for expenditures that would not occur if the TxCDBG </w:t>
      </w:r>
      <w:r w:rsidR="0080050B">
        <w:t>Grant Agreement</w:t>
      </w:r>
      <w:r w:rsidR="00590EAB" w:rsidRPr="00827FA3">
        <w:t xml:space="preserve"> </w:t>
      </w:r>
      <w:r w:rsidR="00DD17EF" w:rsidRPr="00827FA3">
        <w:t xml:space="preserve">were not funded. Local </w:t>
      </w:r>
      <w:proofErr w:type="gramStart"/>
      <w:r w:rsidR="00DD17EF" w:rsidRPr="00827FA3">
        <w:t>match</w:t>
      </w:r>
      <w:proofErr w:type="gramEnd"/>
      <w:r w:rsidR="00DD17EF" w:rsidRPr="00827FA3">
        <w:t xml:space="preserve"> will only be considered for expenses that meet the eligibility and prior approval requirements of TDA.</w:t>
      </w:r>
    </w:p>
    <w:p w14:paraId="4BF69496" w14:textId="77777777" w:rsidR="00DD17EF" w:rsidRDefault="00DD17EF" w:rsidP="001C693A"/>
    <w:p w14:paraId="24C57CED" w14:textId="70D8F110" w:rsidR="00DD17EF" w:rsidRPr="00D02FBB" w:rsidRDefault="00DD17EF" w:rsidP="00E54478">
      <w:pPr>
        <w:pStyle w:val="3Arial11"/>
      </w:pPr>
      <w:r w:rsidRPr="00D02FBB">
        <w:t>Cost Eligibility</w:t>
      </w:r>
    </w:p>
    <w:p w14:paraId="47565A80" w14:textId="13C4D143" w:rsidR="00DD17EF" w:rsidRPr="00600EF4" w:rsidRDefault="00DD17EF" w:rsidP="00D9076A">
      <w:r w:rsidRPr="00600EF4">
        <w:t>Matching funds are subject to all TxCDBG cost eligibility requirements</w:t>
      </w:r>
      <w:r w:rsidR="0003486E">
        <w:t>; however,</w:t>
      </w:r>
      <w:r w:rsidRPr="00600EF4">
        <w:t xml:space="preserve"> the following items are </w:t>
      </w:r>
      <w:r w:rsidRPr="002401B7">
        <w:rPr>
          <w:i/>
          <w:iCs/>
        </w:rPr>
        <w:t>not</w:t>
      </w:r>
      <w:r w:rsidRPr="00600EF4">
        <w:t xml:space="preserve"> eligible for grant funding but </w:t>
      </w:r>
      <w:r w:rsidRPr="002401B7">
        <w:rPr>
          <w:i/>
          <w:iCs/>
        </w:rPr>
        <w:t xml:space="preserve">may </w:t>
      </w:r>
      <w:r w:rsidRPr="00600EF4">
        <w:t>be eligible for matching funds:</w:t>
      </w:r>
    </w:p>
    <w:p w14:paraId="56DAC880" w14:textId="19215CEB" w:rsidR="00DD17EF" w:rsidRPr="00EA0CBB" w:rsidRDefault="00DD17EF" w:rsidP="00E54478">
      <w:pPr>
        <w:pStyle w:val="2Bulletedlist-Arial11"/>
        <w:numPr>
          <w:ilvl w:val="0"/>
          <w:numId w:val="60"/>
        </w:numPr>
        <w:spacing w:line="240" w:lineRule="auto"/>
      </w:pPr>
      <w:r w:rsidRPr="00D02FBB">
        <w:rPr>
          <w:b/>
          <w:bCs/>
        </w:rPr>
        <w:t xml:space="preserve">Donated </w:t>
      </w:r>
      <w:r w:rsidR="00827FA3">
        <w:rPr>
          <w:b/>
          <w:bCs/>
        </w:rPr>
        <w:t>P</w:t>
      </w:r>
      <w:r w:rsidRPr="00D02FBB">
        <w:rPr>
          <w:b/>
          <w:bCs/>
        </w:rPr>
        <w:t>roperty</w:t>
      </w:r>
      <w:r w:rsidR="00E41E57">
        <w:t xml:space="preserve"> – </w:t>
      </w:r>
      <w:r w:rsidRPr="00600EF4">
        <w:t xml:space="preserve">The value of property owned by either the Grant Recipient or the utility </w:t>
      </w:r>
      <w:r w:rsidRPr="00CC4DCB">
        <w:rPr>
          <w:spacing w:val="-4"/>
        </w:rPr>
        <w:t xml:space="preserve">that will own new grant-funded facilities, excluding easements, rights-of-way, existing locations for the same infrastructure system, or similar property, may be claimed as matching funds </w:t>
      </w:r>
      <w:proofErr w:type="gramStart"/>
      <w:r w:rsidR="001C693A">
        <w:rPr>
          <w:spacing w:val="-4"/>
        </w:rPr>
        <w:t>as</w:t>
      </w:r>
      <w:r w:rsidRPr="00CC4DCB">
        <w:rPr>
          <w:spacing w:val="-4"/>
        </w:rPr>
        <w:t xml:space="preserve"> long as</w:t>
      </w:r>
      <w:proofErr w:type="gramEnd"/>
      <w:r w:rsidRPr="00CC4DCB">
        <w:rPr>
          <w:spacing w:val="-4"/>
        </w:rPr>
        <w:t xml:space="preserve"> the donated property changes hands, i.e., a</w:t>
      </w:r>
      <w:r w:rsidR="009E3E1B">
        <w:rPr>
          <w:spacing w:val="-4"/>
        </w:rPr>
        <w:t>n</w:t>
      </w:r>
      <w:r w:rsidRPr="00CC4DCB">
        <w:rPr>
          <w:spacing w:val="-4"/>
        </w:rPr>
        <w:t xml:space="preserve"> </w:t>
      </w:r>
      <w:r w:rsidR="009E3E1B">
        <w:rPr>
          <w:spacing w:val="-4"/>
        </w:rPr>
        <w:t xml:space="preserve">entity </w:t>
      </w:r>
      <w:r w:rsidRPr="00CC4DCB">
        <w:rPr>
          <w:spacing w:val="-4"/>
        </w:rPr>
        <w:t>cannot donate property to itself as match.</w:t>
      </w:r>
    </w:p>
    <w:p w14:paraId="224AB4D6" w14:textId="3B2CD085" w:rsidR="00DD17EF" w:rsidRPr="00EA0CBB" w:rsidRDefault="00DD17EF" w:rsidP="00E54478">
      <w:pPr>
        <w:pStyle w:val="2Bulletedlist-Arial11"/>
        <w:numPr>
          <w:ilvl w:val="0"/>
          <w:numId w:val="60"/>
        </w:numPr>
        <w:spacing w:line="240" w:lineRule="auto"/>
      </w:pPr>
      <w:r w:rsidRPr="00D02FBB">
        <w:rPr>
          <w:b/>
          <w:bCs/>
        </w:rPr>
        <w:t>Waived Fees</w:t>
      </w:r>
      <w:r w:rsidR="00E41E57">
        <w:t xml:space="preserve"> – </w:t>
      </w:r>
      <w:r w:rsidRPr="00EA0CBB">
        <w:t>Fees associated with grant or match funded infrastructure that are normally collected by either the Grant Recipient or the utility that will own the infrastructure but that are waived for the TxCDBG project may be claimed as matching funds with prior TDA approval.</w:t>
      </w:r>
      <w:r>
        <w:t xml:space="preserve"> </w:t>
      </w:r>
      <w:r w:rsidRPr="00EA0CBB">
        <w:t>These fees may include assessment fees, capital improvement fees, utility connection fees for low- to-moderate-income households, and similar fees.</w:t>
      </w:r>
    </w:p>
    <w:p w14:paraId="27084385" w14:textId="5E44A358" w:rsidR="00DD17EF" w:rsidRPr="001C693A" w:rsidRDefault="00DD17EF" w:rsidP="00E54478">
      <w:pPr>
        <w:pStyle w:val="2Bulletedlist-Arial11"/>
        <w:numPr>
          <w:ilvl w:val="0"/>
          <w:numId w:val="60"/>
        </w:numPr>
        <w:spacing w:line="240" w:lineRule="auto"/>
      </w:pPr>
      <w:r w:rsidRPr="00D02FBB">
        <w:rPr>
          <w:b/>
          <w:bCs/>
        </w:rPr>
        <w:t xml:space="preserve">First-time </w:t>
      </w:r>
      <w:r w:rsidR="00827FA3">
        <w:rPr>
          <w:b/>
          <w:bCs/>
        </w:rPr>
        <w:t>W</w:t>
      </w:r>
      <w:r w:rsidRPr="00D02FBB">
        <w:rPr>
          <w:b/>
          <w:bCs/>
        </w:rPr>
        <w:t>ater/</w:t>
      </w:r>
      <w:r w:rsidR="001C693A">
        <w:rPr>
          <w:b/>
          <w:bCs/>
        </w:rPr>
        <w:t>S</w:t>
      </w:r>
      <w:r w:rsidRPr="00D02FBB">
        <w:rPr>
          <w:b/>
          <w:bCs/>
        </w:rPr>
        <w:t xml:space="preserve">ewer </w:t>
      </w:r>
      <w:r w:rsidR="00827FA3">
        <w:rPr>
          <w:b/>
          <w:bCs/>
        </w:rPr>
        <w:t>S</w:t>
      </w:r>
      <w:r w:rsidRPr="00D02FBB">
        <w:rPr>
          <w:b/>
          <w:bCs/>
        </w:rPr>
        <w:t xml:space="preserve">ervice for </w:t>
      </w:r>
      <w:r w:rsidR="00827FA3">
        <w:rPr>
          <w:b/>
          <w:bCs/>
        </w:rPr>
        <w:t>N</w:t>
      </w:r>
      <w:r w:rsidRPr="00D02FBB">
        <w:rPr>
          <w:b/>
          <w:bCs/>
        </w:rPr>
        <w:t xml:space="preserve">on-LMI </w:t>
      </w:r>
      <w:r w:rsidR="00827FA3">
        <w:rPr>
          <w:b/>
          <w:bCs/>
        </w:rPr>
        <w:t>H</w:t>
      </w:r>
      <w:r w:rsidRPr="00D02FBB">
        <w:rPr>
          <w:b/>
          <w:bCs/>
        </w:rPr>
        <w:t>ouseholds</w:t>
      </w:r>
      <w:r w:rsidR="00E41E57">
        <w:t xml:space="preserve"> – </w:t>
      </w:r>
      <w:r w:rsidRPr="00EA0CBB">
        <w:t xml:space="preserve">At TDA’s discretion, costs </w:t>
      </w:r>
      <w:r w:rsidRPr="001C693A">
        <w:t>associated with yard</w:t>
      </w:r>
      <w:r w:rsidR="00163FFF" w:rsidRPr="001C693A">
        <w:t xml:space="preserve"> </w:t>
      </w:r>
      <w:r w:rsidRPr="001C693A">
        <w:t xml:space="preserve">lines for non-LMI households may count as matching funds. </w:t>
      </w:r>
      <w:r w:rsidR="0003486E" w:rsidRPr="001C693A">
        <w:t xml:space="preserve">E.g., relocation of a water line that impacts yard-lines of both LMI and non-LMI households. </w:t>
      </w:r>
    </w:p>
    <w:p w14:paraId="03130DA0" w14:textId="77777777" w:rsidR="00DD17EF" w:rsidRPr="00EA0CBB" w:rsidRDefault="00DD17EF" w:rsidP="00E54478">
      <w:pPr>
        <w:rPr>
          <w:rFonts w:cs="Arial"/>
        </w:rPr>
      </w:pPr>
    </w:p>
    <w:p w14:paraId="0CFE7178" w14:textId="77777777" w:rsidR="00DD17EF" w:rsidRPr="00D02FBB" w:rsidRDefault="00DD17EF" w:rsidP="00E54478">
      <w:pPr>
        <w:pStyle w:val="3Arial11"/>
      </w:pPr>
      <w:r w:rsidRPr="00D02FBB">
        <w:t>Federal, State, and Program Requirements</w:t>
      </w:r>
    </w:p>
    <w:p w14:paraId="1853C0DF" w14:textId="646A31CA" w:rsidR="00DD17EF" w:rsidRPr="00EA0CBB" w:rsidRDefault="00DD17EF" w:rsidP="001C693A">
      <w:pPr>
        <w:rPr>
          <w:rFonts w:ascii="Calibri" w:hAnsi="Calibri"/>
        </w:rPr>
      </w:pPr>
      <w:r w:rsidRPr="00EA0CBB">
        <w:t>Matching funds are generally subject to all TxCDBG program requirements. However, the following exception appl</w:t>
      </w:r>
      <w:r w:rsidR="006E6EB2">
        <w:t>ies</w:t>
      </w:r>
      <w:r w:rsidRPr="00EA0CBB">
        <w:t xml:space="preserve">: </w:t>
      </w:r>
    </w:p>
    <w:p w14:paraId="601ADEED" w14:textId="102A47CA" w:rsidR="00DD17EF" w:rsidRDefault="00DD17EF" w:rsidP="00E54478">
      <w:pPr>
        <w:pStyle w:val="2Bulletedlist-Arial11"/>
        <w:numPr>
          <w:ilvl w:val="0"/>
          <w:numId w:val="61"/>
        </w:numPr>
        <w:spacing w:line="240" w:lineRule="auto"/>
      </w:pPr>
      <w:r w:rsidRPr="007B5518">
        <w:t xml:space="preserve">For construction </w:t>
      </w:r>
      <w:r w:rsidR="003E127A">
        <w:t>agreements</w:t>
      </w:r>
      <w:r w:rsidRPr="007B5518">
        <w:t xml:space="preserve"> funded entirely through non-</w:t>
      </w:r>
      <w:r>
        <w:t>Tx</w:t>
      </w:r>
      <w:r w:rsidRPr="007B5518">
        <w:t xml:space="preserve">CDBG funds but used to complete the TxCDBG project, the construction </w:t>
      </w:r>
      <w:r w:rsidR="003E127A">
        <w:t>agreement</w:t>
      </w:r>
      <w:r w:rsidRPr="007B5518">
        <w:t xml:space="preserve"> may be exempt from Davis-Bacon </w:t>
      </w:r>
      <w:r w:rsidR="00046AB1">
        <w:t xml:space="preserve">Act </w:t>
      </w:r>
      <w:r w:rsidRPr="007B5518">
        <w:t>and related requirements</w:t>
      </w:r>
      <w:r w:rsidR="001C693A">
        <w:t>, s</w:t>
      </w:r>
      <w:r>
        <w:t xml:space="preserve">ee </w:t>
      </w:r>
      <w:r w:rsidRPr="00827FA3">
        <w:rPr>
          <w:i/>
          <w:iCs/>
        </w:rPr>
        <w:t>Chapter</w:t>
      </w:r>
      <w:r w:rsidR="006112AB">
        <w:rPr>
          <w:i/>
          <w:iCs/>
        </w:rPr>
        <w:t xml:space="preserve"> 7 Davis-Bacon Labor Standards</w:t>
      </w:r>
      <w:r w:rsidRPr="00827FA3">
        <w:rPr>
          <w:i/>
          <w:iCs/>
        </w:rPr>
        <w:t>.</w:t>
      </w:r>
      <w:r w:rsidRPr="007B5518">
        <w:t xml:space="preserve"> </w:t>
      </w:r>
    </w:p>
    <w:p w14:paraId="02B31803" w14:textId="77777777" w:rsidR="00190E21" w:rsidRPr="007B5518" w:rsidRDefault="00190E21" w:rsidP="00E54478"/>
    <w:p w14:paraId="7A660503" w14:textId="05191F7B" w:rsidR="00DD17EF" w:rsidRDefault="00DD17EF" w:rsidP="00E54478">
      <w:pPr>
        <w:pStyle w:val="Heading2"/>
      </w:pPr>
      <w:bookmarkStart w:id="67" w:name="_Toc46134397"/>
      <w:bookmarkStart w:id="68" w:name="_Toc123110530"/>
      <w:bookmarkStart w:id="69" w:name="_Toc123198159"/>
      <w:bookmarkStart w:id="70" w:name="_Toc123198394"/>
      <w:bookmarkStart w:id="71" w:name="OLE_LINK4"/>
      <w:bookmarkStart w:id="72" w:name="OLE_LINK5"/>
      <w:bookmarkStart w:id="73" w:name="_Toc171781490"/>
      <w:r w:rsidRPr="00260E6C">
        <w:t>2.</w:t>
      </w:r>
      <w:r>
        <w:t>3.2</w:t>
      </w:r>
      <w:r w:rsidRPr="00260E6C">
        <w:t xml:space="preserve"> </w:t>
      </w:r>
      <w:r>
        <w:t>Reducing the Commitment of Matching Funds</w:t>
      </w:r>
      <w:bookmarkEnd w:id="67"/>
      <w:bookmarkEnd w:id="68"/>
      <w:bookmarkEnd w:id="69"/>
      <w:bookmarkEnd w:id="70"/>
      <w:bookmarkEnd w:id="73"/>
    </w:p>
    <w:p w14:paraId="36DB3F1F" w14:textId="565963B7" w:rsidR="00DD17EF" w:rsidRPr="00260E6C" w:rsidRDefault="00DD17EF" w:rsidP="001C693A"/>
    <w:bookmarkEnd w:id="71"/>
    <w:bookmarkEnd w:id="72"/>
    <w:p w14:paraId="14116BFF" w14:textId="682C4815" w:rsidR="00DD17EF" w:rsidRPr="001F32F3" w:rsidRDefault="00DD17EF" w:rsidP="001C693A">
      <w:r w:rsidRPr="001F32F3">
        <w:t xml:space="preserve">Each Grant Recipient is required to expend the same ratio of local funds to TxCDBG funds as </w:t>
      </w:r>
      <w:r>
        <w:t xml:space="preserve">documented in the </w:t>
      </w:r>
      <w:r w:rsidR="0080050B">
        <w:t>Grant Agreement</w:t>
      </w:r>
      <w:r w:rsidRPr="001F32F3">
        <w:t xml:space="preserve">. </w:t>
      </w:r>
    </w:p>
    <w:p w14:paraId="7B68C00B" w14:textId="77777777" w:rsidR="00DD17EF" w:rsidRPr="001F32F3" w:rsidRDefault="00DD17EF" w:rsidP="00E54478"/>
    <w:p w14:paraId="7C9C5EDA" w14:textId="77777777" w:rsidR="00DD17EF" w:rsidRPr="001F32F3" w:rsidRDefault="00DD17EF" w:rsidP="001C693A">
      <w:r>
        <w:t xml:space="preserve">If the overall project costs are less than the budgeted funds, the Grant Recipient may proportionally reduce both the grant fund and matching fund amounts without a budget amendment. </w:t>
      </w:r>
      <w:r w:rsidRPr="001F32F3">
        <w:t>The formula for calculating a proportional reduction in grant and match funds is:</w:t>
      </w:r>
    </w:p>
    <w:p w14:paraId="15EFD0F3" w14:textId="77777777" w:rsidR="00DD17EF" w:rsidRPr="001F32F3" w:rsidRDefault="00DD17EF" w:rsidP="00E54478">
      <w:pPr>
        <w:rPr>
          <w:rFonts w:cs="Arial"/>
          <w:szCs w:val="22"/>
        </w:rPr>
      </w:pPr>
    </w:p>
    <w:p w14:paraId="59028B44" w14:textId="75BA20B4" w:rsidR="00DD17EF" w:rsidRDefault="001C693A" w:rsidP="001C693A">
      <w:pPr>
        <w:jc w:val="center"/>
        <w:rPr>
          <w:sz w:val="20"/>
          <w:szCs w:val="22"/>
        </w:rPr>
      </w:pPr>
      <w:r w:rsidRPr="00F50A33">
        <w:rPr>
          <w:rFonts w:cs="Arial"/>
          <w:b/>
          <w:bCs/>
          <w:sz w:val="20"/>
          <w:szCs w:val="20"/>
        </w:rPr>
        <w:t>Total Project Cost ÷ (1 + (Exhibit B Match Amount ÷ Exhibit B Grant Amount)) = Adjusted Grant Funds</w:t>
      </w:r>
    </w:p>
    <w:p w14:paraId="3A58A4E1" w14:textId="77777777" w:rsidR="001C693A" w:rsidRPr="005D36D9" w:rsidRDefault="001C693A" w:rsidP="00E54478">
      <w:pPr>
        <w:rPr>
          <w:sz w:val="20"/>
          <w:szCs w:val="22"/>
        </w:rPr>
      </w:pPr>
    </w:p>
    <w:p w14:paraId="51A590F6" w14:textId="0901BB3A" w:rsidR="00DD17EF" w:rsidRDefault="00DD17EF" w:rsidP="001C693A">
      <w:r>
        <w:t>The</w:t>
      </w:r>
      <w:r w:rsidRPr="001F32F3">
        <w:t xml:space="preserve"> </w:t>
      </w:r>
      <w:r w:rsidRPr="00835F6C">
        <w:rPr>
          <w:i/>
          <w:iCs/>
        </w:rPr>
        <w:t>TxCDBG Match Calculator</w:t>
      </w:r>
      <w:r>
        <w:t xml:space="preserve"> </w:t>
      </w:r>
      <w:r w:rsidRPr="00835F6C">
        <w:rPr>
          <w:b/>
        </w:rPr>
        <w:t xml:space="preserve">(Form A208) </w:t>
      </w:r>
      <w:r w:rsidR="001060B1">
        <w:t xml:space="preserve">can </w:t>
      </w:r>
      <w:r w:rsidRPr="001F32F3">
        <w:t xml:space="preserve">assist in calculating the correct </w:t>
      </w:r>
      <w:r w:rsidR="006A0966">
        <w:t>ratio</w:t>
      </w:r>
      <w:r w:rsidR="006A0966" w:rsidRPr="001F32F3">
        <w:t xml:space="preserve"> </w:t>
      </w:r>
      <w:r w:rsidRPr="001F32F3">
        <w:t>of grant and match funds based on actual project costs.</w:t>
      </w:r>
      <w:r>
        <w:t xml:space="preserve"> </w:t>
      </w:r>
    </w:p>
    <w:p w14:paraId="57B6FE5D" w14:textId="77777777" w:rsidR="00DD17EF" w:rsidRPr="005D36D9" w:rsidRDefault="00DD17EF" w:rsidP="001C693A"/>
    <w:p w14:paraId="22491D30" w14:textId="77777777" w:rsidR="00DD17EF" w:rsidRPr="001F32F3" w:rsidRDefault="00DD17EF" w:rsidP="001C693A">
      <w:r w:rsidRPr="001F32F3">
        <w:t>Unless the terms of the award or fund category require a larger match ratio, TDA will not require or verify matching funds greater than 100%.</w:t>
      </w:r>
      <w:r>
        <w:t xml:space="preserve"> </w:t>
      </w:r>
    </w:p>
    <w:p w14:paraId="69F18763" w14:textId="77777777" w:rsidR="00DD17EF" w:rsidRPr="009C2305" w:rsidRDefault="00DD17EF" w:rsidP="00E54478">
      <w:pPr>
        <w:pStyle w:val="2Bulletedlist-Arial11"/>
        <w:numPr>
          <w:ilvl w:val="0"/>
          <w:numId w:val="66"/>
        </w:numPr>
        <w:spacing w:line="240" w:lineRule="auto"/>
      </w:pPr>
      <w:r w:rsidRPr="009C2305">
        <w:t xml:space="preserve">For </w:t>
      </w:r>
      <w:r>
        <w:t>projects</w:t>
      </w:r>
      <w:r w:rsidRPr="009C2305">
        <w:t xml:space="preserve"> in which the local match commitment exceeds the amount of TxCDBG grant funds, the matching funds may be reduced to the point that local funds are equal to or greater than the TxCDBG grant funds expended on the project without reducing grant funds.</w:t>
      </w:r>
      <w:r>
        <w:t xml:space="preserve"> </w:t>
      </w:r>
    </w:p>
    <w:p w14:paraId="6473D22D" w14:textId="526AD63A" w:rsidR="0003486E" w:rsidRDefault="00DD17EF" w:rsidP="00E54478">
      <w:pPr>
        <w:pStyle w:val="2Bulletedlist-Arial11"/>
        <w:numPr>
          <w:ilvl w:val="0"/>
          <w:numId w:val="66"/>
        </w:numPr>
        <w:spacing w:line="240" w:lineRule="auto"/>
        <w:rPr>
          <w:i/>
          <w:iCs/>
        </w:rPr>
      </w:pPr>
      <w:r w:rsidRPr="009C2305">
        <w:t xml:space="preserve">Approval from TDA to proportionally reduce matching funds is required if the overall project costs are proposed to be reduced by deleting work from the TxCDBG </w:t>
      </w:r>
      <w:r w:rsidR="0080050B">
        <w:t>Grant Agreement</w:t>
      </w:r>
      <w:r w:rsidR="00BC5503">
        <w:t xml:space="preserve"> </w:t>
      </w:r>
      <w:r w:rsidRPr="009C2305">
        <w:t>Performance Statement</w:t>
      </w:r>
      <w:r w:rsidR="001060B1">
        <w:t xml:space="preserve"> and</w:t>
      </w:r>
      <w:r w:rsidRPr="009C2305">
        <w:t xml:space="preserve"> requires a </w:t>
      </w:r>
      <w:r w:rsidR="001C693A">
        <w:t>G</w:t>
      </w:r>
      <w:r>
        <w:t>rant</w:t>
      </w:r>
      <w:r w:rsidRPr="009C2305">
        <w:t xml:space="preserve"> </w:t>
      </w:r>
      <w:r w:rsidR="001C693A">
        <w:t>Agreement A</w:t>
      </w:r>
      <w:r w:rsidRPr="009C2305">
        <w:t>mendment</w:t>
      </w:r>
      <w:r w:rsidR="001060B1">
        <w:t>, s</w:t>
      </w:r>
      <w:r w:rsidRPr="009C2305">
        <w:t xml:space="preserve">ee </w:t>
      </w:r>
      <w:r w:rsidRPr="00BC5503">
        <w:rPr>
          <w:i/>
          <w:iCs/>
        </w:rPr>
        <w:t>Chapter 11</w:t>
      </w:r>
      <w:r w:rsidR="006112AB">
        <w:rPr>
          <w:i/>
          <w:iCs/>
        </w:rPr>
        <w:t xml:space="preserve"> </w:t>
      </w:r>
      <w:r w:rsidR="0080050B">
        <w:rPr>
          <w:i/>
          <w:iCs/>
        </w:rPr>
        <w:t>Grant Agreement</w:t>
      </w:r>
      <w:r w:rsidR="006112AB">
        <w:rPr>
          <w:i/>
          <w:iCs/>
        </w:rPr>
        <w:t xml:space="preserve"> Amendments</w:t>
      </w:r>
      <w:r w:rsidRPr="00BC5503">
        <w:rPr>
          <w:i/>
          <w:iCs/>
        </w:rPr>
        <w:t>.</w:t>
      </w:r>
      <w:r w:rsidRPr="002401B7">
        <w:t xml:space="preserve"> </w:t>
      </w:r>
    </w:p>
    <w:p w14:paraId="71E3CFB5" w14:textId="383F0371" w:rsidR="00DD17EF" w:rsidRPr="0003486E" w:rsidRDefault="00261A8C" w:rsidP="00E54478">
      <w:pPr>
        <w:pStyle w:val="2Bulletedlist-Arial11"/>
        <w:numPr>
          <w:ilvl w:val="0"/>
          <w:numId w:val="0"/>
        </w:numPr>
        <w:spacing w:line="240" w:lineRule="auto"/>
        <w:ind w:left="360"/>
        <w:rPr>
          <w:i/>
          <w:iCs/>
        </w:rPr>
      </w:pPr>
      <w:r w:rsidRPr="002401B7">
        <w:rPr>
          <w:b/>
          <w:bCs/>
        </w:rPr>
        <w:t>NOTE</w:t>
      </w:r>
      <w:r>
        <w:t xml:space="preserve">: </w:t>
      </w:r>
      <w:r w:rsidR="001060B1">
        <w:t xml:space="preserve">A proportional reduction of match does not require a grant amendment. </w:t>
      </w:r>
    </w:p>
    <w:p w14:paraId="73C58A7F" w14:textId="77777777" w:rsidR="00DD17EF" w:rsidRPr="00260E6C" w:rsidRDefault="00DD17EF" w:rsidP="00E54478">
      <w:pPr>
        <w:rPr>
          <w:rFonts w:cs="Arial"/>
          <w:szCs w:val="22"/>
        </w:rPr>
      </w:pPr>
    </w:p>
    <w:p w14:paraId="7C5F1581" w14:textId="0956CAA6" w:rsidR="00DD17EF" w:rsidRDefault="00DD17EF" w:rsidP="00E54478">
      <w:pPr>
        <w:pStyle w:val="Heading2"/>
      </w:pPr>
      <w:bookmarkStart w:id="74" w:name="_Toc46134398"/>
      <w:bookmarkStart w:id="75" w:name="_Toc123110531"/>
      <w:bookmarkStart w:id="76" w:name="_Toc123198160"/>
      <w:bookmarkStart w:id="77" w:name="_Toc123198395"/>
      <w:bookmarkStart w:id="78" w:name="_Toc171781491"/>
      <w:r w:rsidRPr="00260E6C">
        <w:t>2.</w:t>
      </w:r>
      <w:r>
        <w:t>3.3</w:t>
      </w:r>
      <w:r w:rsidRPr="00260E6C">
        <w:t xml:space="preserve"> </w:t>
      </w:r>
      <w:r>
        <w:t>Matching Funds Provided by Other Funding Agencies</w:t>
      </w:r>
      <w:bookmarkEnd w:id="74"/>
      <w:bookmarkEnd w:id="75"/>
      <w:bookmarkEnd w:id="76"/>
      <w:bookmarkEnd w:id="77"/>
      <w:bookmarkEnd w:id="78"/>
    </w:p>
    <w:p w14:paraId="66C9014E" w14:textId="77777777" w:rsidR="00DD17EF" w:rsidRPr="007A2A42" w:rsidRDefault="00DD17EF" w:rsidP="00E54478"/>
    <w:p w14:paraId="15C83C4E" w14:textId="650BB781" w:rsidR="00DB546E" w:rsidRDefault="00DB546E" w:rsidP="001C693A">
      <w:r w:rsidRPr="00260E6C">
        <w:t xml:space="preserve">All </w:t>
      </w:r>
      <w:r>
        <w:t xml:space="preserve">sources </w:t>
      </w:r>
      <w:r w:rsidRPr="00260E6C">
        <w:t>of funding</w:t>
      </w:r>
      <w:r>
        <w:t>,</w:t>
      </w:r>
      <w:r w:rsidR="00AF7278">
        <w:t xml:space="preserve"> </w:t>
      </w:r>
      <w:r w:rsidRPr="00260E6C">
        <w:t>other than TxCDBG</w:t>
      </w:r>
      <w:r>
        <w:t xml:space="preserve"> funds,</w:t>
      </w:r>
      <w:r w:rsidRPr="00260E6C">
        <w:t xml:space="preserve"> </w:t>
      </w:r>
      <w:r>
        <w:t xml:space="preserve">must be identified and secured at the time of application. </w:t>
      </w:r>
    </w:p>
    <w:p w14:paraId="2783F107" w14:textId="77777777" w:rsidR="00DB546E" w:rsidRDefault="00DB546E" w:rsidP="001C693A"/>
    <w:p w14:paraId="4843E886" w14:textId="2937E060" w:rsidR="00DD17EF" w:rsidRPr="00260E6C" w:rsidRDefault="00DB546E" w:rsidP="001C693A">
      <w:r>
        <w:t xml:space="preserve">If additional funding is obtained after the submission of the application, the Grant Recipient should submit the funding award notification and/or other documentation to </w:t>
      </w:r>
      <w:r w:rsidRPr="00260E6C">
        <w:t>T</w:t>
      </w:r>
      <w:r>
        <w:t>DA</w:t>
      </w:r>
      <w:r w:rsidRPr="00260E6C">
        <w:t xml:space="preserve"> </w:t>
      </w:r>
      <w:r>
        <w:t xml:space="preserve">by uploading the document to the TDA-GO </w:t>
      </w:r>
      <w:r w:rsidRPr="002401B7">
        <w:rPr>
          <w:i/>
          <w:iCs/>
        </w:rPr>
        <w:t>Grant Overview</w:t>
      </w:r>
      <w:r>
        <w:t xml:space="preserve"> page as a </w:t>
      </w:r>
      <w:r w:rsidRPr="001C693A">
        <w:rPr>
          <w:i/>
          <w:iCs/>
        </w:rPr>
        <w:t>Special Request</w:t>
      </w:r>
      <w:r>
        <w:t xml:space="preserve"> </w:t>
      </w:r>
      <w:r w:rsidRPr="002C7390">
        <w:t xml:space="preserve">within </w:t>
      </w:r>
      <w:r w:rsidR="00AF7278" w:rsidRPr="002401B7">
        <w:rPr>
          <w:b/>
        </w:rPr>
        <w:t>thirty (</w:t>
      </w:r>
      <w:r>
        <w:rPr>
          <w:b/>
        </w:rPr>
        <w:t>30</w:t>
      </w:r>
      <w:r w:rsidR="00AF7278">
        <w:rPr>
          <w:b/>
        </w:rPr>
        <w:t>)</w:t>
      </w:r>
      <w:r>
        <w:rPr>
          <w:b/>
        </w:rPr>
        <w:t xml:space="preserve"> </w:t>
      </w:r>
      <w:r w:rsidRPr="002C7390">
        <w:rPr>
          <w:b/>
        </w:rPr>
        <w:t>days</w:t>
      </w:r>
      <w:r w:rsidRPr="002C7390">
        <w:t xml:space="preserve"> of any change in the expected sources or uses of funds that exceed the lesser of </w:t>
      </w:r>
      <w:r w:rsidRPr="002C7390">
        <w:rPr>
          <w:b/>
        </w:rPr>
        <w:t>$250,000 or 10</w:t>
      </w:r>
      <w:r>
        <w:rPr>
          <w:b/>
        </w:rPr>
        <w:t xml:space="preserve">% </w:t>
      </w:r>
      <w:r w:rsidRPr="002C7390">
        <w:t>of</w:t>
      </w:r>
      <w:r>
        <w:t xml:space="preserve"> </w:t>
      </w:r>
      <w:r w:rsidRPr="002C7390">
        <w:t>previously disclosed sources.</w:t>
      </w:r>
      <w:r>
        <w:t xml:space="preserve"> </w:t>
      </w:r>
      <w:bookmarkStart w:id="79" w:name="OLE_LINK6"/>
      <w:r w:rsidR="00DD17EF" w:rsidRPr="00260E6C">
        <w:t xml:space="preserve">The Grant Recipient </w:t>
      </w:r>
      <w:r w:rsidR="00DD17EF">
        <w:t>must</w:t>
      </w:r>
      <w:r w:rsidR="00DD17EF" w:rsidRPr="00260E6C">
        <w:t xml:space="preserve"> submit</w:t>
      </w:r>
      <w:r>
        <w:t xml:space="preserve"> </w:t>
      </w:r>
      <w:r w:rsidR="00DD17EF">
        <w:t xml:space="preserve">the following </w:t>
      </w:r>
      <w:r>
        <w:t>documentation</w:t>
      </w:r>
      <w:r w:rsidR="000B40E8">
        <w:t>:</w:t>
      </w:r>
    </w:p>
    <w:p w14:paraId="703C38B0" w14:textId="77777777" w:rsidR="00DD17EF" w:rsidRPr="00260E6C" w:rsidRDefault="00DD17EF" w:rsidP="00E54478">
      <w:pPr>
        <w:pStyle w:val="2Bulletedlist-Arial11"/>
        <w:numPr>
          <w:ilvl w:val="0"/>
          <w:numId w:val="67"/>
        </w:numPr>
        <w:spacing w:line="240" w:lineRule="auto"/>
      </w:pPr>
      <w:r>
        <w:t>T</w:t>
      </w:r>
      <w:r w:rsidRPr="00260E6C">
        <w:t xml:space="preserve">he amount of funds actually received from each </w:t>
      </w:r>
      <w:proofErr w:type="gramStart"/>
      <w:r w:rsidRPr="00260E6C">
        <w:t>source;</w:t>
      </w:r>
      <w:proofErr w:type="gramEnd"/>
      <w:r w:rsidRPr="00260E6C">
        <w:t xml:space="preserve"> </w:t>
      </w:r>
    </w:p>
    <w:p w14:paraId="5157BA3D" w14:textId="67ADA054" w:rsidR="00DD17EF" w:rsidRPr="00260E6C" w:rsidRDefault="00DD17EF" w:rsidP="00E54478">
      <w:pPr>
        <w:pStyle w:val="2Bulletedlist-Arial11"/>
        <w:numPr>
          <w:ilvl w:val="0"/>
          <w:numId w:val="67"/>
        </w:numPr>
        <w:spacing w:line="240" w:lineRule="auto"/>
      </w:pPr>
      <w:r>
        <w:t>T</w:t>
      </w:r>
      <w:r w:rsidRPr="00260E6C">
        <w:t>he scope of the project funded through sources other than TxCDBG</w:t>
      </w:r>
      <w:r>
        <w:t>—</w:t>
      </w:r>
      <w:r w:rsidR="000B40E8">
        <w:t>to</w:t>
      </w:r>
      <w:r w:rsidRPr="00260E6C">
        <w:t xml:space="preserve"> confirm that the funds are match to the TxCDBG-funded project; and</w:t>
      </w:r>
    </w:p>
    <w:p w14:paraId="2D908B35" w14:textId="77777777" w:rsidR="00DD17EF" w:rsidRPr="00260E6C" w:rsidRDefault="00DD17EF" w:rsidP="00E54478">
      <w:pPr>
        <w:pStyle w:val="2Bulletedlist-Arial11"/>
        <w:numPr>
          <w:ilvl w:val="0"/>
          <w:numId w:val="67"/>
        </w:numPr>
        <w:spacing w:line="240" w:lineRule="auto"/>
      </w:pPr>
      <w:r>
        <w:t>C</w:t>
      </w:r>
      <w:r w:rsidRPr="00260E6C">
        <w:t xml:space="preserve">ompletion of </w:t>
      </w:r>
      <w:r>
        <w:t>the</w:t>
      </w:r>
      <w:r w:rsidRPr="00260E6C">
        <w:t xml:space="preserve"> project</w:t>
      </w:r>
      <w:r>
        <w:t xml:space="preserve"> as reported to all agencies</w:t>
      </w:r>
      <w:r w:rsidRPr="00260E6C">
        <w:t>.</w:t>
      </w:r>
    </w:p>
    <w:bookmarkEnd w:id="79"/>
    <w:p w14:paraId="1D3929F3" w14:textId="77777777" w:rsidR="00DD17EF" w:rsidRPr="00260E6C" w:rsidRDefault="00DD17EF" w:rsidP="00E54478">
      <w:pPr>
        <w:rPr>
          <w:rFonts w:cs="Arial"/>
          <w:szCs w:val="22"/>
        </w:rPr>
      </w:pPr>
    </w:p>
    <w:p w14:paraId="076BFEA0" w14:textId="699B6AD4" w:rsidR="00DD17EF" w:rsidRDefault="00DD17EF" w:rsidP="001C693A">
      <w:r w:rsidRPr="002C7390">
        <w:t>Other sources include state and federal funding agencies other</w:t>
      </w:r>
      <w:r w:rsidRPr="00260E6C">
        <w:t xml:space="preserve"> than TxCDBG</w:t>
      </w:r>
      <w:r w:rsidR="00046AB1">
        <w:t>,</w:t>
      </w:r>
      <w:r w:rsidRPr="00260E6C">
        <w:t xml:space="preserve"> as well as local </w:t>
      </w:r>
      <w:r>
        <w:t>w</w:t>
      </w:r>
      <w:r w:rsidRPr="00260E6C">
        <w:t xml:space="preserve">ater </w:t>
      </w:r>
      <w:r>
        <w:t>s</w:t>
      </w:r>
      <w:r w:rsidRPr="00260E6C">
        <w:t xml:space="preserve">upply </w:t>
      </w:r>
      <w:r>
        <w:t>c</w:t>
      </w:r>
      <w:r w:rsidRPr="00260E6C">
        <w:t>orporations or other local entities participating in the project.</w:t>
      </w:r>
    </w:p>
    <w:p w14:paraId="4FAF7D03" w14:textId="77777777" w:rsidR="00B90A70" w:rsidRPr="00260E6C" w:rsidRDefault="00B90A70" w:rsidP="00E54478"/>
    <w:p w14:paraId="1EC10E5D" w14:textId="6847BD82" w:rsidR="00DD17EF" w:rsidRPr="00D27B17" w:rsidRDefault="00DD17EF" w:rsidP="001C693A">
      <w:bookmarkStart w:id="80" w:name="OLE_LINK12"/>
      <w:bookmarkStart w:id="81" w:name="OLE_LINK13"/>
      <w:bookmarkStart w:id="82" w:name="_Hlk234656610"/>
      <w:r w:rsidRPr="00D27B17">
        <w:t xml:space="preserve">All projects funded in whole or in part through TxCDBG funds must comply with federal, state, and program requirements. Except as otherwise indicated, the procedures and requirements of the TxCDBG Project Implementation Manual apply to all work described in the </w:t>
      </w:r>
      <w:r w:rsidR="001C693A">
        <w:t xml:space="preserve">TxCDBG </w:t>
      </w:r>
      <w:r w:rsidR="0080050B">
        <w:t>Grant Agreement</w:t>
      </w:r>
      <w:r w:rsidR="00401329">
        <w:t xml:space="preserve"> </w:t>
      </w:r>
      <w:r w:rsidRPr="00D27B17">
        <w:t>Performance Statement, including work performed by or funded in part through other state or federal agencies.</w:t>
      </w:r>
    </w:p>
    <w:bookmarkEnd w:id="80"/>
    <w:bookmarkEnd w:id="81"/>
    <w:bookmarkEnd w:id="82"/>
    <w:p w14:paraId="6F50C266" w14:textId="77777777" w:rsidR="00DD17EF" w:rsidRDefault="00DD17EF" w:rsidP="001C693A"/>
    <w:p w14:paraId="083EC13D" w14:textId="233E1645" w:rsidR="00DD17EF" w:rsidRDefault="00DD17EF" w:rsidP="001C693A">
      <w:r w:rsidRPr="00260E6C">
        <w:t xml:space="preserve">If a construction </w:t>
      </w:r>
      <w:r w:rsidR="003E127A">
        <w:t>agreement</w:t>
      </w:r>
      <w:r w:rsidRPr="00260E6C">
        <w:t xml:space="preserve"> includes both a TxCDBG project and a separate project not included in the Performance Statement </w:t>
      </w:r>
      <w:r>
        <w:t>n</w:t>
      </w:r>
      <w:r w:rsidRPr="00260E6C">
        <w:t xml:space="preserve">or claimed as matching funds to be paid by the Grant Recipient or another funding source, the construction </w:t>
      </w:r>
      <w:r w:rsidR="003E127A">
        <w:t>agreement</w:t>
      </w:r>
      <w:r w:rsidR="003E127A" w:rsidRPr="00260E6C">
        <w:t xml:space="preserve"> </w:t>
      </w:r>
      <w:r w:rsidR="00A42664">
        <w:t>and bid schedule</w:t>
      </w:r>
      <w:r w:rsidRPr="00260E6C">
        <w:t xml:space="preserve"> should clearly indicate the work and the costs associated with each project.</w:t>
      </w:r>
    </w:p>
    <w:p w14:paraId="34281F4A" w14:textId="56CA7C72" w:rsidR="000B40E8" w:rsidRDefault="000B40E8" w:rsidP="00E54478"/>
    <w:p w14:paraId="689CD185" w14:textId="00221434" w:rsidR="00DD17EF" w:rsidRDefault="00DD17EF" w:rsidP="00E54478">
      <w:pPr>
        <w:pStyle w:val="2Bulletedlist-Arial11"/>
        <w:numPr>
          <w:ilvl w:val="0"/>
          <w:numId w:val="0"/>
        </w:numPr>
        <w:spacing w:line="240" w:lineRule="auto"/>
      </w:pPr>
    </w:p>
    <w:p w14:paraId="6EC05CE1" w14:textId="7C6E2312" w:rsidR="00B814B5" w:rsidRDefault="00B814B5" w:rsidP="00E54478">
      <w:pPr>
        <w:pStyle w:val="Heading1"/>
        <w:ind w:left="720" w:firstLine="720"/>
        <w:jc w:val="left"/>
        <w:rPr>
          <w:b w:val="0"/>
        </w:rPr>
      </w:pPr>
      <w:bookmarkStart w:id="83" w:name="_Toc123110532"/>
      <w:bookmarkStart w:id="84" w:name="_Toc123198161"/>
      <w:bookmarkStart w:id="85" w:name="_Toc123198396"/>
      <w:bookmarkStart w:id="86" w:name="_Toc171781492"/>
      <w:bookmarkEnd w:id="54"/>
      <w:r>
        <w:t>2.4 Payment Request Procedures</w:t>
      </w:r>
      <w:bookmarkEnd w:id="83"/>
      <w:bookmarkEnd w:id="84"/>
      <w:bookmarkEnd w:id="85"/>
      <w:bookmarkEnd w:id="86"/>
    </w:p>
    <w:p w14:paraId="64B82909" w14:textId="3AF7D6DD" w:rsidR="00B814B5" w:rsidRDefault="00B814B5" w:rsidP="00E54478">
      <w:bookmarkStart w:id="87" w:name="_Toc46134391"/>
    </w:p>
    <w:bookmarkEnd w:id="87"/>
    <w:p w14:paraId="3EFACEDE" w14:textId="3A12E8FC" w:rsidR="008B5267" w:rsidRDefault="008B5267" w:rsidP="001C693A">
      <w:r>
        <w:t>Detailed</w:t>
      </w:r>
      <w:r w:rsidR="00E32DDC">
        <w:t xml:space="preserve"> step-by-step</w:t>
      </w:r>
      <w:r>
        <w:t xml:space="preserve"> instructions </w:t>
      </w:r>
      <w:r w:rsidR="00E32DDC">
        <w:t>for</w:t>
      </w:r>
      <w:r>
        <w:t xml:space="preserve"> submitting a Payment Request in TDA-GO may be found on the TDA website. </w:t>
      </w:r>
    </w:p>
    <w:p w14:paraId="2ACE1587" w14:textId="77777777" w:rsidR="008B5267" w:rsidRPr="00874C7D" w:rsidRDefault="008B5267" w:rsidP="00E54478"/>
    <w:p w14:paraId="47DE01D2" w14:textId="696FFBCC" w:rsidR="00950AFC" w:rsidRDefault="00AF7278" w:rsidP="001C693A">
      <w:r>
        <w:t>If</w:t>
      </w:r>
      <w:r w:rsidR="00B814B5">
        <w:t xml:space="preserve"> TDA staff identifies minor revisions to the data, staff may make certain adjustments and note those changes in the TDA Comments box. </w:t>
      </w:r>
    </w:p>
    <w:p w14:paraId="20E2875A" w14:textId="77777777" w:rsidR="00F50A33" w:rsidRDefault="00F50A33" w:rsidP="001C693A"/>
    <w:p w14:paraId="57254EE2" w14:textId="150AFFDC" w:rsidR="00B814B5" w:rsidRDefault="00B814B5" w:rsidP="001C693A">
      <w:r w:rsidRPr="002401B7">
        <w:rPr>
          <w:b/>
        </w:rPr>
        <w:t>EXAMPLE</w:t>
      </w:r>
      <w:r>
        <w:t xml:space="preserve">: The payment request exceeds a funding </w:t>
      </w:r>
      <w:proofErr w:type="gramStart"/>
      <w:r>
        <w:t xml:space="preserve">threshold </w:t>
      </w:r>
      <w:r w:rsidR="0080737D">
        <w:t xml:space="preserve"> (</w:t>
      </w:r>
      <w:proofErr w:type="gramEnd"/>
      <w:r w:rsidR="001F3CEC">
        <w:t>e</w:t>
      </w:r>
      <w:r w:rsidR="0080737D">
        <w:t xml:space="preserve">.g., Groups A, B, C, etc.) </w:t>
      </w:r>
      <w:r>
        <w:t xml:space="preserve">that has not been satisfied, but the costs are otherwise eligible, </w:t>
      </w:r>
      <w:r w:rsidR="001C693A">
        <w:t>TDA staff</w:t>
      </w:r>
      <w:r>
        <w:t xml:space="preserve"> will reduce the grant amount requested and note the amount which may be claimed on subsequent payments. If costs included on the reported invoice are not eligible for the TxCDBG program, TDA staff will not</w:t>
      </w:r>
      <w:r w:rsidR="001C693A">
        <w:t>e</w:t>
      </w:r>
      <w:r>
        <w:t xml:space="preserve"> the disallowed amount in the appropriate column and reduc</w:t>
      </w:r>
      <w:r w:rsidR="00692D5E">
        <w:t>e</w:t>
      </w:r>
      <w:r>
        <w:t xml:space="preserve"> the grant amount requested.</w:t>
      </w:r>
    </w:p>
    <w:p w14:paraId="4D501D4D" w14:textId="77777777" w:rsidR="00B814B5" w:rsidRDefault="00B814B5" w:rsidP="001C693A"/>
    <w:p w14:paraId="1580EDB7" w14:textId="41EC1BFE" w:rsidR="00B814B5" w:rsidRDefault="00B814B5" w:rsidP="001C693A">
      <w:r w:rsidRPr="002401B7">
        <w:rPr>
          <w:u w:val="single"/>
        </w:rPr>
        <w:t xml:space="preserve">Under no circumstances </w:t>
      </w:r>
      <w:r w:rsidR="007F51E5" w:rsidRPr="002401B7">
        <w:rPr>
          <w:u w:val="single"/>
        </w:rPr>
        <w:t>will</w:t>
      </w:r>
      <w:r w:rsidRPr="002401B7">
        <w:rPr>
          <w:u w:val="single"/>
        </w:rPr>
        <w:t xml:space="preserve"> any TDA staff member increase the amount of grant funds requested on behalf of the Grant Recipient.</w:t>
      </w:r>
      <w:r>
        <w:t xml:space="preserve"> If additional costs can be claimed, TDA staff may return the payment request to be revised and recertified by the Grant Recipient.</w:t>
      </w:r>
    </w:p>
    <w:p w14:paraId="0E2C37B0" w14:textId="7CB0F27F" w:rsidR="00B814B5" w:rsidRDefault="00B814B5" w:rsidP="001C693A"/>
    <w:p w14:paraId="516102E0" w14:textId="614A8A3B" w:rsidR="00B814B5" w:rsidRDefault="00B814B5" w:rsidP="001C693A">
      <w:r>
        <w:t>Once a payment</w:t>
      </w:r>
      <w:r>
        <w:rPr>
          <w:i/>
          <w:iCs/>
        </w:rPr>
        <w:t xml:space="preserve"> </w:t>
      </w:r>
      <w:r>
        <w:t xml:space="preserve">request has been submitted, the Grant Recipient may check the status of the request in TDA-GO by navigating to the same payment request. The document landing page will include the </w:t>
      </w:r>
      <w:proofErr w:type="gramStart"/>
      <w:r>
        <w:t>current status</w:t>
      </w:r>
      <w:proofErr w:type="gramEnd"/>
      <w:r>
        <w:t xml:space="preserve"> of the request.</w:t>
      </w:r>
    </w:p>
    <w:p w14:paraId="66D4D322" w14:textId="0DB4ADCD" w:rsidR="006B2C7B" w:rsidRDefault="006B2C7B" w:rsidP="001C693A"/>
    <w:p w14:paraId="2353E58C" w14:textId="3F609992" w:rsidR="00B814B5" w:rsidRDefault="00B814B5" w:rsidP="001C693A">
      <w:r>
        <w:t xml:space="preserve">If </w:t>
      </w:r>
      <w:r w:rsidR="00FE5F03">
        <w:t>TDA staff</w:t>
      </w:r>
      <w:r>
        <w:t xml:space="preserve"> needs additional information or is unable to proceed, the payment processor or </w:t>
      </w:r>
      <w:r w:rsidR="00636F08">
        <w:t>administration</w:t>
      </w:r>
      <w:r>
        <w:t xml:space="preserve"> consultant </w:t>
      </w:r>
      <w:r w:rsidR="007B6128">
        <w:t xml:space="preserve">will </w:t>
      </w:r>
      <w:r>
        <w:t xml:space="preserve">be contacted within </w:t>
      </w:r>
      <w:r w:rsidR="00AF7278">
        <w:t>ten (</w:t>
      </w:r>
      <w:r w:rsidR="00422D9C">
        <w:t>10</w:t>
      </w:r>
      <w:r w:rsidR="00AF7278">
        <w:t>)</w:t>
      </w:r>
      <w:r w:rsidR="00422D9C">
        <w:t xml:space="preserve"> </w:t>
      </w:r>
      <w:r w:rsidR="007B6128">
        <w:t xml:space="preserve">business </w:t>
      </w:r>
      <w:r>
        <w:t xml:space="preserve">days of the payment request submittal. </w:t>
      </w:r>
    </w:p>
    <w:p w14:paraId="42DA3671" w14:textId="77777777" w:rsidR="00390164" w:rsidRPr="00390164" w:rsidRDefault="00390164" w:rsidP="00E54478"/>
    <w:p w14:paraId="7BCF5A44" w14:textId="1FDB7924" w:rsidR="002E18F0" w:rsidRDefault="003C07FB" w:rsidP="00E54478">
      <w:pPr>
        <w:pStyle w:val="Heading2"/>
      </w:pPr>
      <w:bookmarkStart w:id="88" w:name="_Toc46134392"/>
      <w:bookmarkStart w:id="89" w:name="_Toc123110533"/>
      <w:bookmarkStart w:id="90" w:name="_Toc123198162"/>
      <w:bookmarkStart w:id="91" w:name="_Toc123198397"/>
      <w:bookmarkStart w:id="92" w:name="_Toc171781493"/>
      <w:r w:rsidRPr="00260E6C">
        <w:t>2.</w:t>
      </w:r>
      <w:r w:rsidR="00DD17EF">
        <w:t>4</w:t>
      </w:r>
      <w:r w:rsidRPr="00260E6C">
        <w:t>.</w:t>
      </w:r>
      <w:r w:rsidR="008B5267">
        <w:t>1</w:t>
      </w:r>
      <w:r w:rsidRPr="00260E6C">
        <w:t xml:space="preserve"> </w:t>
      </w:r>
      <w:r w:rsidR="002E18F0" w:rsidRPr="00260E6C">
        <w:t xml:space="preserve">Minimum </w:t>
      </w:r>
      <w:r w:rsidR="00611CC0">
        <w:t xml:space="preserve">Payment </w:t>
      </w:r>
      <w:r w:rsidR="002E18F0" w:rsidRPr="00260E6C">
        <w:t>Request</w:t>
      </w:r>
      <w:r w:rsidR="0058471E">
        <w:t xml:space="preserve"> Amount</w:t>
      </w:r>
      <w:r w:rsidR="002E18F0" w:rsidRPr="00260E6C">
        <w:t>s and Disbursement</w:t>
      </w:r>
      <w:bookmarkEnd w:id="55"/>
      <w:bookmarkEnd w:id="56"/>
      <w:bookmarkEnd w:id="88"/>
      <w:bookmarkEnd w:id="89"/>
      <w:bookmarkEnd w:id="90"/>
      <w:bookmarkEnd w:id="91"/>
      <w:bookmarkEnd w:id="92"/>
    </w:p>
    <w:p w14:paraId="1B0564B4" w14:textId="77777777" w:rsidR="007A2A42" w:rsidRPr="007A2A42" w:rsidRDefault="007A2A42" w:rsidP="00E54478"/>
    <w:p w14:paraId="5CC6D664" w14:textId="36D451D3" w:rsidR="002E18F0" w:rsidRPr="009114CB" w:rsidRDefault="00A778B9" w:rsidP="00692D5E">
      <w:r w:rsidRPr="009114CB">
        <w:t>Grant Recipients</w:t>
      </w:r>
      <w:r w:rsidR="002E18F0" w:rsidRPr="009114CB">
        <w:t xml:space="preserve"> may </w:t>
      </w:r>
      <w:r w:rsidR="0058471E" w:rsidRPr="009114CB">
        <w:t xml:space="preserve">request reimbursement </w:t>
      </w:r>
      <w:r w:rsidR="002E18F0" w:rsidRPr="009114CB">
        <w:t>for eligible costs as often as needed, with the provision that the minimum request is</w:t>
      </w:r>
      <w:r w:rsidR="00F933AF" w:rsidRPr="009114CB">
        <w:t xml:space="preserve"> $2,500.</w:t>
      </w:r>
      <w:r w:rsidR="002E18F0" w:rsidRPr="009114CB">
        <w:t xml:space="preserve"> The exceptions to th</w:t>
      </w:r>
      <w:r w:rsidR="00516715" w:rsidRPr="009114CB">
        <w:t>e</w:t>
      </w:r>
      <w:r w:rsidR="002E18F0" w:rsidRPr="009114CB">
        <w:t xml:space="preserve"> </w:t>
      </w:r>
      <w:r w:rsidR="00DD7019" w:rsidRPr="009114CB">
        <w:t>minimum</w:t>
      </w:r>
      <w:r w:rsidR="00EE5646" w:rsidRPr="009114CB">
        <w:t xml:space="preserve"> payment </w:t>
      </w:r>
      <w:r w:rsidR="005451D6" w:rsidRPr="009114CB">
        <w:t xml:space="preserve">request </w:t>
      </w:r>
      <w:r w:rsidR="00DD7019" w:rsidRPr="009114CB">
        <w:t xml:space="preserve">of $2,500 </w:t>
      </w:r>
      <w:r w:rsidR="002E18F0" w:rsidRPr="009114CB">
        <w:t>rule are as follows:</w:t>
      </w:r>
    </w:p>
    <w:p w14:paraId="531BA58D" w14:textId="1B575A3C" w:rsidR="002E18F0" w:rsidRPr="0083662F" w:rsidRDefault="002E18F0" w:rsidP="00E54478">
      <w:pPr>
        <w:pStyle w:val="2Bulletedlist-Arial11"/>
        <w:numPr>
          <w:ilvl w:val="0"/>
          <w:numId w:val="86"/>
        </w:numPr>
        <w:spacing w:line="240" w:lineRule="auto"/>
        <w:ind w:left="720"/>
        <w:rPr>
          <w:color w:val="000000" w:themeColor="text1"/>
        </w:rPr>
      </w:pPr>
      <w:r w:rsidRPr="0083662F">
        <w:rPr>
          <w:color w:val="000000" w:themeColor="text1"/>
        </w:rPr>
        <w:t xml:space="preserve">The </w:t>
      </w:r>
      <w:r w:rsidR="0058471E" w:rsidRPr="0083662F">
        <w:rPr>
          <w:color w:val="000000" w:themeColor="text1"/>
        </w:rPr>
        <w:t xml:space="preserve">request </w:t>
      </w:r>
      <w:r w:rsidRPr="0083662F">
        <w:rPr>
          <w:color w:val="000000" w:themeColor="text1"/>
        </w:rPr>
        <w:t>exceeds 25</w:t>
      </w:r>
      <w:r w:rsidR="00660119" w:rsidRPr="0083662F">
        <w:rPr>
          <w:color w:val="000000" w:themeColor="text1"/>
        </w:rPr>
        <w:t xml:space="preserve">% </w:t>
      </w:r>
      <w:r w:rsidRPr="0083662F">
        <w:rPr>
          <w:color w:val="000000" w:themeColor="text1"/>
        </w:rPr>
        <w:t>of a</w:t>
      </w:r>
      <w:r w:rsidR="0058471E" w:rsidRPr="0083662F">
        <w:rPr>
          <w:color w:val="000000" w:themeColor="text1"/>
        </w:rPr>
        <w:t>n activity</w:t>
      </w:r>
      <w:r w:rsidRPr="0083662F">
        <w:rPr>
          <w:color w:val="000000" w:themeColor="text1"/>
        </w:rPr>
        <w:t xml:space="preserve"> budget and the </w:t>
      </w:r>
      <w:r w:rsidR="00A778B9" w:rsidRPr="0083662F">
        <w:rPr>
          <w:color w:val="000000" w:themeColor="text1"/>
        </w:rPr>
        <w:t>Grant Recipient</w:t>
      </w:r>
      <w:r w:rsidRPr="0083662F">
        <w:rPr>
          <w:color w:val="000000" w:themeColor="text1"/>
        </w:rPr>
        <w:t xml:space="preserve"> is requesting funds only for that line </w:t>
      </w:r>
      <w:proofErr w:type="gramStart"/>
      <w:r w:rsidRPr="0083662F">
        <w:rPr>
          <w:color w:val="000000" w:themeColor="text1"/>
        </w:rPr>
        <w:t>item;</w:t>
      </w:r>
      <w:proofErr w:type="gramEnd"/>
    </w:p>
    <w:p w14:paraId="66AAE94A" w14:textId="1F2AC2FE" w:rsidR="002E18F0" w:rsidRPr="0083662F" w:rsidRDefault="002E18F0" w:rsidP="00E54478">
      <w:pPr>
        <w:pStyle w:val="2Bulletedlist-Arial11"/>
        <w:numPr>
          <w:ilvl w:val="0"/>
          <w:numId w:val="86"/>
        </w:numPr>
        <w:spacing w:line="240" w:lineRule="auto"/>
        <w:ind w:left="720"/>
        <w:rPr>
          <w:color w:val="000000" w:themeColor="text1"/>
        </w:rPr>
      </w:pPr>
      <w:r w:rsidRPr="0083662F">
        <w:rPr>
          <w:color w:val="000000" w:themeColor="text1"/>
        </w:rPr>
        <w:t xml:space="preserve">The </w:t>
      </w:r>
      <w:r w:rsidR="00A778B9" w:rsidRPr="0083662F">
        <w:rPr>
          <w:color w:val="000000" w:themeColor="text1"/>
        </w:rPr>
        <w:t>Grant Recipient</w:t>
      </w:r>
      <w:r w:rsidRPr="0083662F">
        <w:rPr>
          <w:color w:val="000000" w:themeColor="text1"/>
        </w:rPr>
        <w:t xml:space="preserve"> is requesting funds for the final retainage of a construction</w:t>
      </w:r>
      <w:r w:rsidR="00660119" w:rsidRPr="0083662F">
        <w:rPr>
          <w:color w:val="000000" w:themeColor="text1"/>
        </w:rPr>
        <w:t xml:space="preserve"> </w:t>
      </w:r>
      <w:proofErr w:type="gramStart"/>
      <w:r w:rsidR="003E127A">
        <w:t>agreement</w:t>
      </w:r>
      <w:r w:rsidRPr="0083662F">
        <w:rPr>
          <w:color w:val="000000" w:themeColor="text1"/>
        </w:rPr>
        <w:t>;</w:t>
      </w:r>
      <w:proofErr w:type="gramEnd"/>
    </w:p>
    <w:p w14:paraId="45C49845" w14:textId="77777777" w:rsidR="002E18F0" w:rsidRPr="0083662F" w:rsidRDefault="002E18F0" w:rsidP="00E54478">
      <w:pPr>
        <w:pStyle w:val="2Bulletedlist-Arial11"/>
        <w:numPr>
          <w:ilvl w:val="0"/>
          <w:numId w:val="86"/>
        </w:numPr>
        <w:spacing w:line="240" w:lineRule="auto"/>
        <w:ind w:left="720"/>
        <w:rPr>
          <w:color w:val="000000" w:themeColor="text1"/>
        </w:rPr>
      </w:pPr>
      <w:r w:rsidRPr="0083662F">
        <w:rPr>
          <w:color w:val="000000" w:themeColor="text1"/>
        </w:rPr>
        <w:t xml:space="preserve">The </w:t>
      </w:r>
      <w:r w:rsidR="00A778B9" w:rsidRPr="0083662F">
        <w:rPr>
          <w:color w:val="000000" w:themeColor="text1"/>
        </w:rPr>
        <w:t>Grant Recipient</w:t>
      </w:r>
      <w:r w:rsidRPr="0083662F">
        <w:rPr>
          <w:color w:val="000000" w:themeColor="text1"/>
        </w:rPr>
        <w:t xml:space="preserve"> has received prior approval from </w:t>
      </w:r>
      <w:r w:rsidR="009307AE" w:rsidRPr="0083662F">
        <w:rPr>
          <w:color w:val="000000" w:themeColor="text1"/>
        </w:rPr>
        <w:t>T</w:t>
      </w:r>
      <w:r w:rsidR="0043497A" w:rsidRPr="0083662F">
        <w:rPr>
          <w:color w:val="000000" w:themeColor="text1"/>
        </w:rPr>
        <w:t>DA</w:t>
      </w:r>
      <w:r w:rsidRPr="0083662F">
        <w:rPr>
          <w:color w:val="000000" w:themeColor="text1"/>
        </w:rPr>
        <w:t>; or</w:t>
      </w:r>
    </w:p>
    <w:p w14:paraId="2212677C" w14:textId="48908035" w:rsidR="002E18F0" w:rsidRPr="0083662F" w:rsidRDefault="002E18F0" w:rsidP="00E54478">
      <w:pPr>
        <w:pStyle w:val="2Bulletedlist-Arial11"/>
        <w:numPr>
          <w:ilvl w:val="0"/>
          <w:numId w:val="86"/>
        </w:numPr>
        <w:spacing w:line="240" w:lineRule="auto"/>
        <w:ind w:left="720"/>
        <w:rPr>
          <w:color w:val="000000" w:themeColor="text1"/>
        </w:rPr>
      </w:pPr>
      <w:r w:rsidRPr="0083662F">
        <w:rPr>
          <w:color w:val="000000" w:themeColor="text1"/>
        </w:rPr>
        <w:t>Th</w:t>
      </w:r>
      <w:r w:rsidR="00A145A3" w:rsidRPr="0083662F">
        <w:rPr>
          <w:color w:val="000000" w:themeColor="text1"/>
        </w:rPr>
        <w:t xml:space="preserve">e request is the final </w:t>
      </w:r>
      <w:r w:rsidR="0058471E" w:rsidRPr="0083662F">
        <w:rPr>
          <w:color w:val="000000" w:themeColor="text1"/>
        </w:rPr>
        <w:t xml:space="preserve">request </w:t>
      </w:r>
      <w:r w:rsidR="00A145A3" w:rsidRPr="0083662F">
        <w:rPr>
          <w:color w:val="000000" w:themeColor="text1"/>
        </w:rPr>
        <w:t xml:space="preserve">for one or more </w:t>
      </w:r>
      <w:r w:rsidR="0058471E" w:rsidRPr="0083662F">
        <w:rPr>
          <w:color w:val="000000" w:themeColor="text1"/>
        </w:rPr>
        <w:t xml:space="preserve">activity </w:t>
      </w:r>
      <w:r w:rsidR="00A145A3" w:rsidRPr="0083662F">
        <w:rPr>
          <w:color w:val="000000" w:themeColor="text1"/>
        </w:rPr>
        <w:t>budget</w:t>
      </w:r>
      <w:r w:rsidR="0058471E" w:rsidRPr="0083662F">
        <w:rPr>
          <w:color w:val="000000" w:themeColor="text1"/>
        </w:rPr>
        <w:t>s</w:t>
      </w:r>
      <w:r w:rsidR="00A145A3" w:rsidRPr="0083662F">
        <w:rPr>
          <w:color w:val="000000" w:themeColor="text1"/>
        </w:rPr>
        <w:t>.</w:t>
      </w:r>
    </w:p>
    <w:p w14:paraId="3718C069" w14:textId="77777777" w:rsidR="00421197" w:rsidRPr="0083662F" w:rsidRDefault="00421197" w:rsidP="00692D5E"/>
    <w:p w14:paraId="4B9A571B" w14:textId="27114352" w:rsidR="006550B4" w:rsidRPr="0083662F" w:rsidRDefault="00822E3B" w:rsidP="00692D5E">
      <w:pPr>
        <w:rPr>
          <w:b/>
        </w:rPr>
      </w:pPr>
      <w:r>
        <w:t>Standards for Payment Requests and Disbursement of Grant Funds</w:t>
      </w:r>
      <w:r w:rsidR="00D96482">
        <w:t xml:space="preserve"> include</w:t>
      </w:r>
      <w:r w:rsidR="006550B4" w:rsidRPr="0083662F">
        <w:t>:</w:t>
      </w:r>
    </w:p>
    <w:p w14:paraId="06B60DBC" w14:textId="074643CA" w:rsidR="00A7388F" w:rsidRPr="0083662F" w:rsidRDefault="00822E3B" w:rsidP="00E54478">
      <w:pPr>
        <w:pStyle w:val="2Bulletedlist-Arial11"/>
        <w:numPr>
          <w:ilvl w:val="0"/>
          <w:numId w:val="87"/>
        </w:numPr>
        <w:spacing w:line="240" w:lineRule="auto"/>
        <w:rPr>
          <w:color w:val="000000" w:themeColor="text1"/>
        </w:rPr>
      </w:pPr>
      <w:r w:rsidRPr="0083662F">
        <w:t xml:space="preserve">Grant Recipients </w:t>
      </w:r>
      <w:r>
        <w:t>must</w:t>
      </w:r>
      <w:r w:rsidRPr="0083662F">
        <w:t xml:space="preserve"> base their payment request on</w:t>
      </w:r>
      <w:r w:rsidRPr="0083662F">
        <w:rPr>
          <w:color w:val="000000" w:themeColor="text1"/>
        </w:rPr>
        <w:t xml:space="preserve"> </w:t>
      </w:r>
      <w:r>
        <w:rPr>
          <w:color w:val="000000" w:themeColor="text1"/>
        </w:rPr>
        <w:t>a</w:t>
      </w:r>
      <w:r w:rsidRPr="0083662F">
        <w:rPr>
          <w:color w:val="000000" w:themeColor="text1"/>
        </w:rPr>
        <w:t xml:space="preserve">ctual </w:t>
      </w:r>
      <w:r w:rsidR="00896AF4" w:rsidRPr="0083662F">
        <w:rPr>
          <w:color w:val="000000" w:themeColor="text1"/>
        </w:rPr>
        <w:t xml:space="preserve">costs </w:t>
      </w:r>
      <w:proofErr w:type="gramStart"/>
      <w:r w:rsidR="00896AF4" w:rsidRPr="0083662F">
        <w:rPr>
          <w:color w:val="000000" w:themeColor="text1"/>
        </w:rPr>
        <w:t>incurred</w:t>
      </w:r>
      <w:r w:rsidR="00BA15CE" w:rsidRPr="0083662F">
        <w:rPr>
          <w:color w:val="000000" w:themeColor="text1"/>
        </w:rPr>
        <w:t>;</w:t>
      </w:r>
      <w:proofErr w:type="gramEnd"/>
      <w:r w:rsidR="00BA15CE" w:rsidRPr="0083662F">
        <w:rPr>
          <w:color w:val="000000" w:themeColor="text1"/>
        </w:rPr>
        <w:t xml:space="preserve"> </w:t>
      </w:r>
    </w:p>
    <w:p w14:paraId="7B0C9447" w14:textId="16E9787B" w:rsidR="00240E12" w:rsidRPr="0083662F" w:rsidRDefault="006550B4" w:rsidP="00E54478">
      <w:pPr>
        <w:pStyle w:val="2Bulletedlist-Arial11"/>
        <w:numPr>
          <w:ilvl w:val="0"/>
          <w:numId w:val="87"/>
        </w:numPr>
        <w:spacing w:line="240" w:lineRule="auto"/>
        <w:rPr>
          <w:color w:val="000000" w:themeColor="text1"/>
        </w:rPr>
      </w:pPr>
      <w:r w:rsidRPr="0083662F">
        <w:rPr>
          <w:color w:val="000000" w:themeColor="text1"/>
        </w:rPr>
        <w:t>Grant Recipient must disburse funds as soon as administratively feasible</w:t>
      </w:r>
      <w:r w:rsidR="00660119" w:rsidRPr="0083662F">
        <w:rPr>
          <w:color w:val="000000" w:themeColor="text1"/>
        </w:rPr>
        <w:t xml:space="preserve">, and </w:t>
      </w:r>
      <w:r w:rsidRPr="0083662F">
        <w:rPr>
          <w:color w:val="000000" w:themeColor="text1"/>
        </w:rPr>
        <w:t xml:space="preserve">a maximum of </w:t>
      </w:r>
      <w:r w:rsidR="00660119" w:rsidRPr="0083662F">
        <w:rPr>
          <w:color w:val="000000" w:themeColor="text1"/>
        </w:rPr>
        <w:t>five</w:t>
      </w:r>
      <w:r w:rsidRPr="0083662F">
        <w:rPr>
          <w:color w:val="000000" w:themeColor="text1"/>
        </w:rPr>
        <w:t xml:space="preserve"> </w:t>
      </w:r>
      <w:r w:rsidR="00DB546E">
        <w:rPr>
          <w:color w:val="000000" w:themeColor="text1"/>
        </w:rPr>
        <w:t xml:space="preserve">(5) </w:t>
      </w:r>
      <w:r w:rsidR="005C6295" w:rsidRPr="0083662F">
        <w:rPr>
          <w:color w:val="000000" w:themeColor="text1"/>
        </w:rPr>
        <w:t xml:space="preserve">business </w:t>
      </w:r>
      <w:r w:rsidRPr="0083662F">
        <w:rPr>
          <w:color w:val="000000" w:themeColor="text1"/>
        </w:rPr>
        <w:t>days</w:t>
      </w:r>
      <w:r w:rsidR="00D96482">
        <w:rPr>
          <w:color w:val="000000" w:themeColor="text1"/>
        </w:rPr>
        <w:t xml:space="preserve"> </w:t>
      </w:r>
      <w:r w:rsidR="00660119" w:rsidRPr="0083662F">
        <w:rPr>
          <w:color w:val="000000" w:themeColor="text1"/>
        </w:rPr>
        <w:t>—</w:t>
      </w:r>
      <w:r w:rsidR="00D96482">
        <w:rPr>
          <w:color w:val="000000" w:themeColor="text1"/>
        </w:rPr>
        <w:t xml:space="preserve"> </w:t>
      </w:r>
      <w:r w:rsidR="005C6295" w:rsidRPr="0083662F">
        <w:rPr>
          <w:color w:val="000000" w:themeColor="text1"/>
        </w:rPr>
        <w:t>not including state and federal holidays</w:t>
      </w:r>
      <w:r w:rsidR="00D96482">
        <w:rPr>
          <w:color w:val="000000" w:themeColor="text1"/>
        </w:rPr>
        <w:t xml:space="preserve"> </w:t>
      </w:r>
      <w:r w:rsidR="00660119" w:rsidRPr="0083662F">
        <w:rPr>
          <w:color w:val="000000" w:themeColor="text1"/>
        </w:rPr>
        <w:t>—</w:t>
      </w:r>
      <w:r w:rsidR="00D96482">
        <w:rPr>
          <w:color w:val="000000" w:themeColor="text1"/>
        </w:rPr>
        <w:t xml:space="preserve"> </w:t>
      </w:r>
      <w:r w:rsidRPr="0083662F">
        <w:rPr>
          <w:color w:val="000000" w:themeColor="text1"/>
        </w:rPr>
        <w:t>from the time of receipt/deposit of funds to the time of actual local disbursement</w:t>
      </w:r>
      <w:r w:rsidR="00CC4DCB" w:rsidRPr="0083662F">
        <w:rPr>
          <w:color w:val="000000" w:themeColor="text1"/>
        </w:rPr>
        <w:t>;</w:t>
      </w:r>
      <w:r w:rsidR="005C6295" w:rsidRPr="0083662F">
        <w:rPr>
          <w:color w:val="000000" w:themeColor="text1"/>
        </w:rPr>
        <w:t xml:space="preserve"> </w:t>
      </w:r>
      <w:r w:rsidR="00DD53DA" w:rsidRPr="0083662F">
        <w:rPr>
          <w:color w:val="000000" w:themeColor="text1"/>
        </w:rPr>
        <w:t>f</w:t>
      </w:r>
      <w:r w:rsidR="005C6295" w:rsidRPr="0083662F">
        <w:rPr>
          <w:color w:val="000000" w:themeColor="text1"/>
        </w:rPr>
        <w:t xml:space="preserve">or state and federal holidays, the Grant Recipient should note such holidays on their ledger to assist </w:t>
      </w:r>
      <w:r w:rsidR="0058471E" w:rsidRPr="0083662F">
        <w:rPr>
          <w:color w:val="000000" w:themeColor="text1"/>
        </w:rPr>
        <w:t xml:space="preserve">in </w:t>
      </w:r>
      <w:r w:rsidR="003E48B5" w:rsidRPr="0083662F">
        <w:rPr>
          <w:color w:val="000000" w:themeColor="text1"/>
        </w:rPr>
        <w:t>determining</w:t>
      </w:r>
      <w:r w:rsidR="0058471E" w:rsidRPr="0083662F">
        <w:rPr>
          <w:color w:val="000000" w:themeColor="text1"/>
        </w:rPr>
        <w:t xml:space="preserve"> compliance with this requirement</w:t>
      </w:r>
      <w:r w:rsidRPr="0083662F">
        <w:rPr>
          <w:color w:val="000000" w:themeColor="text1"/>
        </w:rPr>
        <w:t>; and</w:t>
      </w:r>
      <w:r w:rsidR="00240E12" w:rsidRPr="0083662F">
        <w:rPr>
          <w:color w:val="000000" w:themeColor="text1"/>
        </w:rPr>
        <w:t xml:space="preserve"> </w:t>
      </w:r>
    </w:p>
    <w:p w14:paraId="5FA55D30" w14:textId="77777777" w:rsidR="00DB2304" w:rsidRPr="00DB2304" w:rsidRDefault="006550B4" w:rsidP="00E54478">
      <w:pPr>
        <w:pStyle w:val="2Bulletedlist-Arial11"/>
        <w:numPr>
          <w:ilvl w:val="0"/>
          <w:numId w:val="87"/>
        </w:numPr>
        <w:spacing w:line="240" w:lineRule="auto"/>
        <w:rPr>
          <w:bCs/>
          <w:color w:val="000000" w:themeColor="text1"/>
        </w:rPr>
      </w:pPr>
      <w:r w:rsidRPr="0083662F">
        <w:rPr>
          <w:color w:val="000000" w:themeColor="text1"/>
        </w:rPr>
        <w:t>Grant Recipient</w:t>
      </w:r>
      <w:r w:rsidR="006F0D97" w:rsidRPr="0083662F">
        <w:rPr>
          <w:color w:val="000000" w:themeColor="text1"/>
        </w:rPr>
        <w:t>s</w:t>
      </w:r>
      <w:r w:rsidRPr="0083662F">
        <w:rPr>
          <w:color w:val="000000" w:themeColor="text1"/>
        </w:rPr>
        <w:t xml:space="preserve"> must </w:t>
      </w:r>
      <w:r w:rsidR="0058471E" w:rsidRPr="0083662F">
        <w:rPr>
          <w:color w:val="000000" w:themeColor="text1"/>
        </w:rPr>
        <w:t xml:space="preserve">request </w:t>
      </w:r>
      <w:r w:rsidRPr="0083662F">
        <w:rPr>
          <w:color w:val="000000" w:themeColor="text1"/>
        </w:rPr>
        <w:t xml:space="preserve">funds under each budget activity at least once </w:t>
      </w:r>
      <w:r w:rsidR="00D04614" w:rsidRPr="0083662F">
        <w:rPr>
          <w:color w:val="000000" w:themeColor="text1"/>
        </w:rPr>
        <w:t xml:space="preserve">a year or as directed by TDA. </w:t>
      </w:r>
      <w:bookmarkStart w:id="93" w:name="_Toc7269263"/>
      <w:bookmarkStart w:id="94" w:name="_Toc38100388"/>
      <w:bookmarkStart w:id="95" w:name="_Toc46134393"/>
    </w:p>
    <w:p w14:paraId="7F2F7A8D" w14:textId="01F12901" w:rsidR="00DB2304" w:rsidRDefault="00DB2304" w:rsidP="00E54478"/>
    <w:p w14:paraId="1BBEB2EE" w14:textId="77777777" w:rsidR="008B5267" w:rsidRPr="00DB2304" w:rsidRDefault="008B5267" w:rsidP="00E54478"/>
    <w:p w14:paraId="32D983F8" w14:textId="5C3457E6" w:rsidR="00D643A2" w:rsidRPr="00DB2304" w:rsidRDefault="00D643A2" w:rsidP="00E54478">
      <w:pPr>
        <w:pStyle w:val="Heading2"/>
      </w:pPr>
      <w:bookmarkStart w:id="96" w:name="_Toc123110534"/>
      <w:bookmarkStart w:id="97" w:name="_Toc123198163"/>
      <w:bookmarkStart w:id="98" w:name="_Toc123198398"/>
      <w:bookmarkStart w:id="99" w:name="_Toc171781494"/>
      <w:r w:rsidRPr="00DB2304">
        <w:t>2.</w:t>
      </w:r>
      <w:r w:rsidR="00DD17EF" w:rsidRPr="00DB2304">
        <w:t>4</w:t>
      </w:r>
      <w:r w:rsidR="00600EF4" w:rsidRPr="00DB2304">
        <w:t>.</w:t>
      </w:r>
      <w:r w:rsidR="008B5267">
        <w:t>2</w:t>
      </w:r>
      <w:r w:rsidRPr="00DB2304">
        <w:t xml:space="preserve"> Delays</w:t>
      </w:r>
      <w:r w:rsidR="007269F9" w:rsidRPr="00DB2304">
        <w:t>, Ineligible Costs,</w:t>
      </w:r>
      <w:r w:rsidRPr="00DB2304">
        <w:t xml:space="preserve"> and Denial of Payment</w:t>
      </w:r>
      <w:bookmarkEnd w:id="93"/>
      <w:bookmarkEnd w:id="94"/>
      <w:bookmarkEnd w:id="95"/>
      <w:bookmarkEnd w:id="96"/>
      <w:bookmarkEnd w:id="97"/>
      <w:bookmarkEnd w:id="98"/>
      <w:bookmarkEnd w:id="99"/>
    </w:p>
    <w:p w14:paraId="5B6DAF77" w14:textId="77777777" w:rsidR="00163EA7" w:rsidRDefault="00163EA7" w:rsidP="00692D5E"/>
    <w:p w14:paraId="203CEC02" w14:textId="414A5362" w:rsidR="00A659AC" w:rsidRPr="0083662F" w:rsidRDefault="00E50BC0" w:rsidP="00692D5E">
      <w:pPr>
        <w:rPr>
          <w:b/>
        </w:rPr>
      </w:pPr>
      <w:r w:rsidRPr="0083662F">
        <w:t xml:space="preserve">Invoices and documentation </w:t>
      </w:r>
      <w:r w:rsidR="00A7388F" w:rsidRPr="0083662F">
        <w:t xml:space="preserve">that </w:t>
      </w:r>
      <w:r w:rsidRPr="0083662F">
        <w:t xml:space="preserve">do </w:t>
      </w:r>
      <w:r w:rsidRPr="0096478D">
        <w:rPr>
          <w:b/>
        </w:rPr>
        <w:t>not</w:t>
      </w:r>
      <w:r w:rsidRPr="0083662F">
        <w:t xml:space="preserve"> meet the minimum requirements established in </w:t>
      </w:r>
      <w:r w:rsidR="00C14BA2" w:rsidRPr="0083662F">
        <w:t xml:space="preserve">this chapter </w:t>
      </w:r>
      <w:r w:rsidRPr="0083662F">
        <w:t xml:space="preserve">will be </w:t>
      </w:r>
      <w:r w:rsidRPr="0096478D">
        <w:rPr>
          <w:b/>
        </w:rPr>
        <w:t>declined</w:t>
      </w:r>
      <w:r w:rsidRPr="0083662F">
        <w:t>.</w:t>
      </w:r>
      <w:r w:rsidR="00172848" w:rsidRPr="0083662F">
        <w:t xml:space="preserve">  </w:t>
      </w:r>
    </w:p>
    <w:p w14:paraId="5C36BA07" w14:textId="13FCEBB4" w:rsidR="00A659AC" w:rsidRPr="0083662F" w:rsidRDefault="00A659AC" w:rsidP="00E54478"/>
    <w:p w14:paraId="67EC0C08" w14:textId="62CD7E04" w:rsidR="003E48B5" w:rsidRDefault="003E48B5" w:rsidP="00692D5E">
      <w:pPr>
        <w:rPr>
          <w:b/>
        </w:rPr>
      </w:pPr>
      <w:r w:rsidRPr="0083662F">
        <w:t xml:space="preserve">All </w:t>
      </w:r>
      <w:r w:rsidR="006B3D72" w:rsidRPr="0083662F">
        <w:t xml:space="preserve">payment </w:t>
      </w:r>
      <w:r w:rsidR="002D325B" w:rsidRPr="0083662F">
        <w:t xml:space="preserve">requests </w:t>
      </w:r>
      <w:r w:rsidRPr="0083662F">
        <w:t xml:space="preserve">require certification by two </w:t>
      </w:r>
      <w:r w:rsidR="006B3D72" w:rsidRPr="0083662F">
        <w:t>p</w:t>
      </w:r>
      <w:r w:rsidRPr="0083662F">
        <w:t xml:space="preserve">ayment </w:t>
      </w:r>
      <w:r w:rsidR="006B3D72" w:rsidRPr="0083662F">
        <w:t>p</w:t>
      </w:r>
      <w:r w:rsidRPr="0083662F">
        <w:t>rocessors</w:t>
      </w:r>
      <w:r w:rsidR="008B5267">
        <w:t xml:space="preserve"> and </w:t>
      </w:r>
      <w:r w:rsidRPr="0083662F">
        <w:t xml:space="preserve">TDA </w:t>
      </w:r>
      <w:r w:rsidR="00A7388F" w:rsidRPr="0083662F">
        <w:t>staff</w:t>
      </w:r>
      <w:r w:rsidRPr="0083662F">
        <w:t xml:space="preserve"> will decline requests that do not include the second </w:t>
      </w:r>
      <w:r w:rsidR="00D96482">
        <w:t>certification as</w:t>
      </w:r>
      <w:r w:rsidRPr="0083662F">
        <w:t xml:space="preserve"> required by the CDBG program.   </w:t>
      </w:r>
    </w:p>
    <w:p w14:paraId="2A2A29B2" w14:textId="60957F63" w:rsidR="008F3DA6" w:rsidRDefault="008F3DA6" w:rsidP="00692D5E"/>
    <w:p w14:paraId="3A8B8C50" w14:textId="27D6D5B9" w:rsidR="00291B2C" w:rsidRPr="0083662F" w:rsidRDefault="00D0386F" w:rsidP="00692D5E">
      <w:pPr>
        <w:rPr>
          <w:b/>
        </w:rPr>
      </w:pPr>
      <w:r w:rsidRPr="0083662F">
        <w:t>If some or all costs</w:t>
      </w:r>
      <w:r w:rsidR="0021465E" w:rsidRPr="0083662F">
        <w:t xml:space="preserve"> are not eligible</w:t>
      </w:r>
      <w:r w:rsidR="00660119" w:rsidRPr="0083662F">
        <w:t>,</w:t>
      </w:r>
      <w:r w:rsidR="0021465E" w:rsidRPr="0083662F">
        <w:t xml:space="preserve"> or are not adequately supported with backup documentation, or if the Grant Recipient is out of compliance </w:t>
      </w:r>
      <w:r w:rsidR="00A7388F" w:rsidRPr="0083662F">
        <w:t xml:space="preserve">with </w:t>
      </w:r>
      <w:r w:rsidR="0021465E" w:rsidRPr="0083662F">
        <w:t xml:space="preserve">one or more program requirements, </w:t>
      </w:r>
      <w:r w:rsidR="00A7388F" w:rsidRPr="0083662F">
        <w:t>TDA staff</w:t>
      </w:r>
      <w:r w:rsidR="006B3D72" w:rsidRPr="0083662F">
        <w:t xml:space="preserve"> </w:t>
      </w:r>
      <w:r w:rsidR="0021465E" w:rsidRPr="0083662F">
        <w:t xml:space="preserve">will either place the </w:t>
      </w:r>
      <w:r w:rsidR="006B3D72" w:rsidRPr="0083662F">
        <w:t xml:space="preserve">payment </w:t>
      </w:r>
      <w:r w:rsidR="005451D6" w:rsidRPr="0083662F">
        <w:t xml:space="preserve">request </w:t>
      </w:r>
      <w:r w:rsidR="0021465E" w:rsidRPr="0083662F">
        <w:t>on hold</w:t>
      </w:r>
      <w:r w:rsidR="004A1CE4" w:rsidRPr="0083662F">
        <w:t>,</w:t>
      </w:r>
      <w:r w:rsidR="0021465E" w:rsidRPr="0083662F">
        <w:t xml:space="preserve"> pending resolution of the issue</w:t>
      </w:r>
      <w:r w:rsidR="004A1CE4" w:rsidRPr="0083662F">
        <w:t>,</w:t>
      </w:r>
      <w:r w:rsidR="0090462A" w:rsidRPr="0083662F">
        <w:t xml:space="preserve"> </w:t>
      </w:r>
      <w:r w:rsidR="0021465E" w:rsidRPr="0083662F">
        <w:t>or d</w:t>
      </w:r>
      <w:r w:rsidR="00D04614" w:rsidRPr="0083662F">
        <w:t xml:space="preserve">ecline the </w:t>
      </w:r>
      <w:r w:rsidR="006B3D72" w:rsidRPr="0083662F">
        <w:t>payment</w:t>
      </w:r>
      <w:r w:rsidR="005451D6" w:rsidRPr="0083662F">
        <w:t xml:space="preserve"> request</w:t>
      </w:r>
      <w:r w:rsidR="00660119" w:rsidRPr="0083662F">
        <w:t xml:space="preserve">. </w:t>
      </w:r>
      <w:r w:rsidR="0021465E" w:rsidRPr="0083662F">
        <w:t>The Grant Recipient will be notified of the reasons for holding or denying requests</w:t>
      </w:r>
      <w:r w:rsidR="00A50B86" w:rsidRPr="0083662F">
        <w:t>.</w:t>
      </w:r>
    </w:p>
    <w:p w14:paraId="7536858F" w14:textId="77777777" w:rsidR="00660119" w:rsidRPr="0083662F" w:rsidRDefault="00660119" w:rsidP="00692D5E"/>
    <w:p w14:paraId="157E72BD" w14:textId="0B61A14C" w:rsidR="00C14BA2" w:rsidRDefault="00CC4DCB" w:rsidP="00692D5E">
      <w:r w:rsidRPr="0083662F">
        <w:t xml:space="preserve">If the Grant Recipient is not able to resolve the identified deficiencies within </w:t>
      </w:r>
      <w:r w:rsidR="0096478D">
        <w:t xml:space="preserve">five </w:t>
      </w:r>
      <w:r w:rsidR="00D96482">
        <w:t xml:space="preserve">(5) </w:t>
      </w:r>
      <w:r w:rsidRPr="0083662F">
        <w:t xml:space="preserve">business days, the </w:t>
      </w:r>
      <w:r w:rsidR="006B3D72" w:rsidRPr="0083662F">
        <w:t xml:space="preserve">payment </w:t>
      </w:r>
      <w:r w:rsidR="005451D6" w:rsidRPr="0083662F">
        <w:t xml:space="preserve">request </w:t>
      </w:r>
      <w:r w:rsidRPr="0083662F">
        <w:t xml:space="preserve">will be declined. </w:t>
      </w:r>
      <w:r w:rsidR="003E48B5" w:rsidRPr="0083662F">
        <w:t xml:space="preserve">The request may be re-submitted </w:t>
      </w:r>
      <w:r w:rsidRPr="0083662F">
        <w:t>once the deficiencies have been resolved</w:t>
      </w:r>
      <w:r w:rsidR="00DA4E82">
        <w:t>.</w:t>
      </w:r>
      <w:r w:rsidR="00D96482">
        <w:t xml:space="preserve"> </w:t>
      </w:r>
      <w:r w:rsidR="00DA4E82">
        <w:t>R</w:t>
      </w:r>
      <w:r w:rsidRPr="0083662F">
        <w:t xml:space="preserve">efer to </w:t>
      </w:r>
      <w:r w:rsidRPr="0083662F">
        <w:rPr>
          <w:i/>
          <w:iCs/>
        </w:rPr>
        <w:t>Acceptable Back-up Documentation for Eligible Costs</w:t>
      </w:r>
      <w:r w:rsidRPr="0083662F">
        <w:t xml:space="preserve"> </w:t>
      </w:r>
      <w:r w:rsidRPr="00B631E4">
        <w:rPr>
          <w:b/>
        </w:rPr>
        <w:t>(Form A207</w:t>
      </w:r>
      <w:r w:rsidRPr="0083662F">
        <w:t>)</w:t>
      </w:r>
      <w:r w:rsidR="00DA4E82">
        <w:t xml:space="preserve"> for specific requirements</w:t>
      </w:r>
      <w:r w:rsidRPr="0083662F">
        <w:t>.</w:t>
      </w:r>
    </w:p>
    <w:p w14:paraId="34D27830" w14:textId="77777777" w:rsidR="00AF2ACA" w:rsidRPr="0083662F" w:rsidRDefault="00AF2ACA" w:rsidP="00692D5E">
      <w:pPr>
        <w:rPr>
          <w:rFonts w:cs="Arial"/>
          <w:color w:val="000000" w:themeColor="text1"/>
          <w:szCs w:val="22"/>
        </w:rPr>
      </w:pPr>
    </w:p>
    <w:p w14:paraId="67A137E6" w14:textId="2ED73DDA" w:rsidR="007A2A42" w:rsidRPr="00692D5E" w:rsidRDefault="007269F9" w:rsidP="00692D5E">
      <w:pPr>
        <w:rPr>
          <w:b/>
          <w:bCs/>
          <w:color w:val="000000" w:themeColor="text1"/>
        </w:rPr>
      </w:pPr>
      <w:r w:rsidRPr="00692D5E">
        <w:rPr>
          <w:b/>
          <w:bCs/>
          <w:color w:val="000000" w:themeColor="text1"/>
        </w:rPr>
        <w:t>Ineligible Costs</w:t>
      </w:r>
    </w:p>
    <w:p w14:paraId="3BBB12E7" w14:textId="271FE334" w:rsidR="007269F9" w:rsidRPr="0083662F" w:rsidRDefault="007F4F62" w:rsidP="00692D5E">
      <w:pPr>
        <w:rPr>
          <w:b/>
        </w:rPr>
      </w:pPr>
      <w:r w:rsidRPr="0083662F">
        <w:t xml:space="preserve">The </w:t>
      </w:r>
      <w:r w:rsidR="00D9076A">
        <w:t xml:space="preserve">TxCDBG </w:t>
      </w:r>
      <w:r w:rsidR="00D9076A" w:rsidRPr="00D9076A">
        <w:t>Guide to Meeting a National Program Objective</w:t>
      </w:r>
      <w:r w:rsidR="00D9076A">
        <w:t xml:space="preserve">, found on the TDA website, </w:t>
      </w:r>
      <w:r w:rsidRPr="0083662F">
        <w:t xml:space="preserve">includes information on the statutory eligibility of </w:t>
      </w:r>
      <w:r w:rsidR="00D9076A">
        <w:t>project activities</w:t>
      </w:r>
      <w:r w:rsidRPr="0083662F">
        <w:t xml:space="preserve">, and </w:t>
      </w:r>
      <w:r w:rsidR="00660119" w:rsidRPr="0083662F">
        <w:t>a</w:t>
      </w:r>
      <w:r w:rsidRPr="0083662F">
        <w:t xml:space="preserve">pplication </w:t>
      </w:r>
      <w:r w:rsidR="00660119" w:rsidRPr="0083662F">
        <w:t>g</w:t>
      </w:r>
      <w:r w:rsidRPr="0083662F">
        <w:t>uides contain eligibility information specific to the funding opportunity.</w:t>
      </w:r>
      <w:r w:rsidR="00660119" w:rsidRPr="0083662F">
        <w:t xml:space="preserve"> </w:t>
      </w:r>
      <w:r w:rsidRPr="0083662F">
        <w:t xml:space="preserve">In addition, the following list includes common items that will </w:t>
      </w:r>
      <w:r w:rsidRPr="0096478D">
        <w:rPr>
          <w:b/>
        </w:rPr>
        <w:t>not</w:t>
      </w:r>
      <w:r w:rsidRPr="0083662F">
        <w:t xml:space="preserve"> be approved for grant or match funding</w:t>
      </w:r>
      <w:r w:rsidR="00660119" w:rsidRPr="0083662F">
        <w:t>. T</w:t>
      </w:r>
      <w:r w:rsidRPr="0083662F">
        <w:t>his list is not exhaustive and project-specific costs must be considered on a case</w:t>
      </w:r>
      <w:r w:rsidR="00660119" w:rsidRPr="0083662F">
        <w:t>-by-</w:t>
      </w:r>
      <w:r w:rsidRPr="0083662F">
        <w:t>case basis.</w:t>
      </w:r>
      <w:r w:rsidR="00660119" w:rsidRPr="0083662F">
        <w:t xml:space="preserve"> </w:t>
      </w:r>
      <w:r w:rsidR="007269F9" w:rsidRPr="0083662F">
        <w:t xml:space="preserve">Please contact </w:t>
      </w:r>
      <w:r w:rsidR="00A7388F" w:rsidRPr="0083662F">
        <w:t>TDA staff</w:t>
      </w:r>
      <w:r w:rsidR="007269F9" w:rsidRPr="0083662F">
        <w:t xml:space="preserve"> </w:t>
      </w:r>
      <w:r w:rsidR="00D9076A" w:rsidRPr="00D9076A">
        <w:t>for specific guidance</w:t>
      </w:r>
      <w:r w:rsidR="007269F9" w:rsidRPr="0083662F">
        <w:t xml:space="preserve">. </w:t>
      </w:r>
    </w:p>
    <w:p w14:paraId="28B8E495" w14:textId="2E39AFBA" w:rsidR="00053C52" w:rsidRPr="00D9076A" w:rsidRDefault="007269F9" w:rsidP="00D9076A">
      <w:pPr>
        <w:pStyle w:val="ListParagraph"/>
        <w:numPr>
          <w:ilvl w:val="0"/>
          <w:numId w:val="92"/>
        </w:numPr>
        <w:spacing w:after="0" w:line="240" w:lineRule="auto"/>
        <w:rPr>
          <w:rFonts w:ascii="Arial" w:hAnsi="Arial" w:cs="Arial"/>
        </w:rPr>
      </w:pPr>
      <w:r w:rsidRPr="00D9076A">
        <w:rPr>
          <w:rFonts w:ascii="Arial" w:hAnsi="Arial" w:cs="Arial"/>
        </w:rPr>
        <w:t xml:space="preserve">Water meters for homes with no identified TxCDBG beneficiaries, including vacant homes, homes not connected to the TxCDBG-funded infrastructure, and other homes not approved as beneficiaries in the application and </w:t>
      </w:r>
      <w:r w:rsidR="0080050B" w:rsidRPr="00D9076A">
        <w:rPr>
          <w:rFonts w:ascii="Arial" w:hAnsi="Arial" w:cs="Arial"/>
        </w:rPr>
        <w:t>Grant Agreement</w:t>
      </w:r>
      <w:r w:rsidR="00CC4DCB" w:rsidRPr="00D9076A">
        <w:rPr>
          <w:rFonts w:ascii="Arial" w:hAnsi="Arial" w:cs="Arial"/>
        </w:rPr>
        <w:t>.</w:t>
      </w:r>
    </w:p>
    <w:p w14:paraId="27C58338" w14:textId="77777777" w:rsidR="00950AFC" w:rsidRPr="00D9076A" w:rsidRDefault="00CC4DCB" w:rsidP="00D9076A">
      <w:pPr>
        <w:pStyle w:val="ListParagraph"/>
        <w:numPr>
          <w:ilvl w:val="0"/>
          <w:numId w:val="92"/>
        </w:numPr>
        <w:spacing w:after="0" w:line="240" w:lineRule="auto"/>
        <w:rPr>
          <w:rFonts w:ascii="Arial" w:hAnsi="Arial" w:cs="Arial"/>
        </w:rPr>
      </w:pPr>
      <w:r w:rsidRPr="00D9076A">
        <w:rPr>
          <w:rFonts w:ascii="Arial" w:hAnsi="Arial" w:cs="Arial"/>
        </w:rPr>
        <w:t>Commercial water meters</w:t>
      </w:r>
      <w:r w:rsidR="00C847CF" w:rsidRPr="00D9076A">
        <w:rPr>
          <w:rFonts w:ascii="Arial" w:hAnsi="Arial" w:cs="Arial"/>
        </w:rPr>
        <w:t xml:space="preserve">. </w:t>
      </w:r>
    </w:p>
    <w:p w14:paraId="60563DCC" w14:textId="00D90515" w:rsidR="00CC4DCB" w:rsidRPr="00D9076A" w:rsidRDefault="00D2468E" w:rsidP="00E54478">
      <w:pPr>
        <w:pStyle w:val="2Bulletedlist-Arial11"/>
        <w:numPr>
          <w:ilvl w:val="0"/>
          <w:numId w:val="0"/>
        </w:numPr>
        <w:spacing w:line="240" w:lineRule="auto"/>
        <w:ind w:left="720"/>
      </w:pPr>
      <w:r w:rsidRPr="00D9076A">
        <w:rPr>
          <w:b/>
          <w:bCs/>
        </w:rPr>
        <w:t>NOTE</w:t>
      </w:r>
      <w:r w:rsidRPr="00D9076A">
        <w:t xml:space="preserve">: </w:t>
      </w:r>
      <w:r w:rsidR="00C847CF" w:rsidRPr="00D9076A">
        <w:t>I</w:t>
      </w:r>
      <w:r w:rsidRPr="00D9076A">
        <w:t>n limited circumstances</w:t>
      </w:r>
      <w:r w:rsidR="00C847CF" w:rsidRPr="00D9076A">
        <w:t>, commercial meters that serve residents may be eligible</w:t>
      </w:r>
      <w:r w:rsidRPr="00D9076A">
        <w:t xml:space="preserve"> e.g., manufactured home parks, apartments, etc.  </w:t>
      </w:r>
      <w:r w:rsidR="00C847CF" w:rsidRPr="00D9076A">
        <w:t>Contact TDA staff for specific guidance.</w:t>
      </w:r>
    </w:p>
    <w:p w14:paraId="703A8DFC" w14:textId="7A3E6D4A" w:rsidR="00053C52" w:rsidRPr="00660119" w:rsidRDefault="007F4F62" w:rsidP="00E54478">
      <w:pPr>
        <w:pStyle w:val="2Bulletedlist-Arial11"/>
        <w:numPr>
          <w:ilvl w:val="0"/>
          <w:numId w:val="58"/>
        </w:numPr>
        <w:spacing w:line="240" w:lineRule="auto"/>
      </w:pPr>
      <w:r w:rsidRPr="00660119">
        <w:t xml:space="preserve">Operating and maintenance expenses of public facilities, improvements and services are ineligible for </w:t>
      </w:r>
      <w:r w:rsidR="00E85E7F">
        <w:t>Tx</w:t>
      </w:r>
      <w:r w:rsidRPr="00660119">
        <w:t>CDBG funding.</w:t>
      </w:r>
      <w:r w:rsidR="0080737D">
        <w:t xml:space="preserve"> </w:t>
      </w:r>
    </w:p>
    <w:p w14:paraId="0C112CE1" w14:textId="09790144" w:rsidR="007F4F62" w:rsidRPr="00053C52" w:rsidRDefault="007F4F62" w:rsidP="00E54478">
      <w:pPr>
        <w:pStyle w:val="2Bulletedlist-Arial11"/>
        <w:numPr>
          <w:ilvl w:val="0"/>
          <w:numId w:val="58"/>
        </w:numPr>
        <w:spacing w:line="240" w:lineRule="auto"/>
      </w:pPr>
      <w:r w:rsidRPr="00660119">
        <w:t xml:space="preserve">Inflow and infiltration identification methods (smoke testing, </w:t>
      </w:r>
      <w:r w:rsidR="00A72101">
        <w:t>televised inspection</w:t>
      </w:r>
      <w:r w:rsidRPr="00660119">
        <w:t xml:space="preserve">), and line cleaning (vacuuming, jetting, etc.) when used to identify </w:t>
      </w:r>
      <w:r w:rsidR="003E48B5">
        <w:t xml:space="preserve">general </w:t>
      </w:r>
      <w:r w:rsidRPr="00660119">
        <w:t>project locations</w:t>
      </w:r>
      <w:r w:rsidR="003E48B5">
        <w:t>.</w:t>
      </w:r>
    </w:p>
    <w:p w14:paraId="09F37CF2" w14:textId="75F12B4C" w:rsidR="007F4F62" w:rsidRPr="00DA665A" w:rsidRDefault="007F4F62" w:rsidP="00E54478">
      <w:pPr>
        <w:pStyle w:val="2Bulletedlist-Arial11"/>
        <w:numPr>
          <w:ilvl w:val="0"/>
          <w:numId w:val="0"/>
        </w:numPr>
        <w:spacing w:line="240" w:lineRule="auto"/>
        <w:ind w:left="720"/>
      </w:pPr>
      <w:r w:rsidRPr="00DA665A">
        <w:t xml:space="preserve">If these methods are used to identify specific sections of wastewater line that require maintenance to reduce or eliminate the amount of inflow or infiltration routed to the treatment facilities, they are considered maintenance activities. The process of identifying </w:t>
      </w:r>
      <w:r w:rsidR="00DF2EA6">
        <w:t>benefit</w:t>
      </w:r>
      <w:r w:rsidR="00DF2EA6" w:rsidRPr="00DA665A">
        <w:t xml:space="preserve"> </w:t>
      </w:r>
      <w:r w:rsidRPr="00DA665A">
        <w:t xml:space="preserve">areas for wastewater line replacement must be completed prior to the submission of an application </w:t>
      </w:r>
      <w:r w:rsidR="00152713" w:rsidRPr="00DA665A">
        <w:t>for</w:t>
      </w:r>
      <w:r w:rsidRPr="00DA665A">
        <w:t xml:space="preserve"> the scope of the project to be fully identified and to expedite construction completion. </w:t>
      </w:r>
      <w:r w:rsidR="00A72101">
        <w:t xml:space="preserve"> </w:t>
      </w:r>
    </w:p>
    <w:p w14:paraId="1EC18EA4" w14:textId="6829E6F4" w:rsidR="00950AFC" w:rsidRPr="00D9076A" w:rsidRDefault="007F4F62" w:rsidP="00E54478">
      <w:pPr>
        <w:pStyle w:val="2Bulletedlist-Arial11"/>
        <w:numPr>
          <w:ilvl w:val="0"/>
          <w:numId w:val="58"/>
        </w:numPr>
        <w:spacing w:line="240" w:lineRule="auto"/>
      </w:pPr>
      <w:r w:rsidRPr="00D9076A">
        <w:t xml:space="preserve">Costs for </w:t>
      </w:r>
      <w:r w:rsidR="00A72101" w:rsidRPr="00D9076A">
        <w:t>televised inspection</w:t>
      </w:r>
      <w:r w:rsidR="00BB1B16" w:rsidRPr="00D9076A">
        <w:t xml:space="preserve"> </w:t>
      </w:r>
      <w:r w:rsidRPr="00D9076A">
        <w:t>and similar methods are considered eligible if used for pre-construction testing on a specific reach of line (manhole</w:t>
      </w:r>
      <w:r w:rsidR="00A72101" w:rsidRPr="00D9076A">
        <w:t>-to-</w:t>
      </w:r>
      <w:r w:rsidRPr="00D9076A">
        <w:t>manhole) and/or inspection of newly constructed lines to verify proper installation.</w:t>
      </w:r>
      <w:r w:rsidR="00C847CF" w:rsidRPr="00D9076A">
        <w:t xml:space="preserve">  Televising for line replacement using the pipe-burst method is generally eligible as a construction cost.  </w:t>
      </w:r>
    </w:p>
    <w:p w14:paraId="09E203B0" w14:textId="09F20420" w:rsidR="00053C52" w:rsidRPr="00D9076A" w:rsidRDefault="00950AFC" w:rsidP="00E54478">
      <w:pPr>
        <w:pStyle w:val="2Bulletedlist-Arial11"/>
        <w:numPr>
          <w:ilvl w:val="0"/>
          <w:numId w:val="0"/>
        </w:numPr>
        <w:spacing w:line="240" w:lineRule="auto"/>
        <w:ind w:left="720"/>
      </w:pPr>
      <w:r w:rsidRPr="00D9076A">
        <w:rPr>
          <w:b/>
          <w:bCs/>
        </w:rPr>
        <w:t>NOTE:</w:t>
      </w:r>
      <w:r w:rsidR="00C847CF" w:rsidRPr="00D9076A">
        <w:t xml:space="preserve"> </w:t>
      </w:r>
      <w:r w:rsidR="00F50A33" w:rsidRPr="00D9076A">
        <w:t>A</w:t>
      </w:r>
      <w:r w:rsidR="00C847CF" w:rsidRPr="00D9076A">
        <w:t xml:space="preserve">n additional classification/wage rate is required for workers of the prime construction contractor or subcontractor who operate the televising equipment (CCTV Operator).    </w:t>
      </w:r>
    </w:p>
    <w:p w14:paraId="59F12659" w14:textId="230EC0C6" w:rsidR="007F4F62" w:rsidRPr="00053C52" w:rsidRDefault="007F4F62" w:rsidP="00E54478">
      <w:pPr>
        <w:pStyle w:val="2Bulletedlist-Arial11"/>
        <w:numPr>
          <w:ilvl w:val="0"/>
          <w:numId w:val="58"/>
        </w:numPr>
        <w:spacing w:line="240" w:lineRule="auto"/>
      </w:pPr>
      <w:r w:rsidRPr="00053C52">
        <w:t xml:space="preserve">Software is generally ineligible unless it is integral to the function of an improvement and not utilized for billing or other </w:t>
      </w:r>
      <w:r w:rsidR="00235540">
        <w:t>o</w:t>
      </w:r>
      <w:r w:rsidRPr="00053C52">
        <w:t xml:space="preserve">peration and </w:t>
      </w:r>
      <w:r w:rsidR="00235540">
        <w:t>m</w:t>
      </w:r>
      <w:r w:rsidRPr="00053C52">
        <w:t xml:space="preserve">aintenance (O&amp;M) </w:t>
      </w:r>
      <w:proofErr w:type="gramStart"/>
      <w:r w:rsidRPr="00053C52">
        <w:t>purpose</w:t>
      </w:r>
      <w:proofErr w:type="gramEnd"/>
      <w:r w:rsidR="00057BD4">
        <w:t>.</w:t>
      </w:r>
    </w:p>
    <w:p w14:paraId="1359127B" w14:textId="706A2DE4" w:rsidR="007F4F62" w:rsidRPr="00DA665A" w:rsidRDefault="007F4F62" w:rsidP="00E54478">
      <w:pPr>
        <w:pStyle w:val="2Bulletedlist-Arial11"/>
        <w:numPr>
          <w:ilvl w:val="1"/>
          <w:numId w:val="58"/>
        </w:numPr>
        <w:spacing w:line="240" w:lineRule="auto"/>
        <w:ind w:left="1080"/>
      </w:pPr>
      <w:r w:rsidRPr="00DA665A">
        <w:t xml:space="preserve">Software </w:t>
      </w:r>
      <w:r w:rsidRPr="00A56468">
        <w:t xml:space="preserve">required for the operation of a </w:t>
      </w:r>
      <w:r w:rsidR="00A56468" w:rsidRPr="00A56468">
        <w:t xml:space="preserve">supervisory control and data acquisition </w:t>
      </w:r>
      <w:r w:rsidR="00152713" w:rsidRPr="00152713">
        <w:t>Software for Supervisory Control and Data Acquisition (SCADA)</w:t>
      </w:r>
      <w:r w:rsidR="00B631E4">
        <w:t xml:space="preserve"> </w:t>
      </w:r>
      <w:r w:rsidRPr="00A56468">
        <w:t>system is eligible.</w:t>
      </w:r>
      <w:r w:rsidRPr="00DA665A">
        <w:t xml:space="preserve"> </w:t>
      </w:r>
    </w:p>
    <w:p w14:paraId="5B26AC9C" w14:textId="5105A687" w:rsidR="007F4F62" w:rsidRPr="000611B7" w:rsidRDefault="007F4F62" w:rsidP="00E54478">
      <w:pPr>
        <w:pStyle w:val="2Bulletedlist-Arial11"/>
        <w:numPr>
          <w:ilvl w:val="1"/>
          <w:numId w:val="58"/>
        </w:numPr>
        <w:spacing w:line="240" w:lineRule="auto"/>
        <w:ind w:left="1080"/>
      </w:pPr>
      <w:r w:rsidRPr="00DA665A">
        <w:t>If software is used for both functional and O&amp;M billing purposes, up to 50% of the software costs may be considered eligible.</w:t>
      </w:r>
    </w:p>
    <w:p w14:paraId="75B8B1CA" w14:textId="77198345" w:rsidR="007269F9" w:rsidRPr="00A56468" w:rsidRDefault="007269F9" w:rsidP="00E54478">
      <w:pPr>
        <w:pStyle w:val="2Bulletedlist-Arial11"/>
        <w:numPr>
          <w:ilvl w:val="0"/>
          <w:numId w:val="58"/>
        </w:numPr>
        <w:spacing w:line="240" w:lineRule="auto"/>
      </w:pPr>
      <w:r w:rsidRPr="00A56468">
        <w:t>Generators that are not permanently installed</w:t>
      </w:r>
      <w:r w:rsidR="00A56468">
        <w:t xml:space="preserve">; </w:t>
      </w:r>
      <w:r w:rsidRPr="00A56468">
        <w:t>trailer mounted generators are not considered permanently installed</w:t>
      </w:r>
      <w:r w:rsidR="00235540" w:rsidRPr="00A56468">
        <w:t>.</w:t>
      </w:r>
    </w:p>
    <w:p w14:paraId="49897969" w14:textId="71C99E17" w:rsidR="003261BD" w:rsidRPr="00A56468" w:rsidRDefault="007269F9" w:rsidP="00E54478">
      <w:pPr>
        <w:pStyle w:val="2Bulletedlist-Arial11"/>
        <w:numPr>
          <w:ilvl w:val="0"/>
          <w:numId w:val="58"/>
        </w:numPr>
        <w:spacing w:line="240" w:lineRule="auto"/>
      </w:pPr>
      <w:r w:rsidRPr="00A56468">
        <w:t xml:space="preserve">Cost of obtaining permits or other documentation that would be required regardless of the current projects, including </w:t>
      </w:r>
      <w:r w:rsidR="00A56468" w:rsidRPr="00A56468">
        <w:t>Certificates of Convenience and Necessity (</w:t>
      </w:r>
      <w:r w:rsidRPr="00A56468">
        <w:t>CCN</w:t>
      </w:r>
      <w:r w:rsidR="00A56468" w:rsidRPr="00A56468">
        <w:t>)</w:t>
      </w:r>
      <w:r w:rsidRPr="00A56468">
        <w:t xml:space="preserve"> applications, renewal of </w:t>
      </w:r>
      <w:r w:rsidR="00A56468">
        <w:rPr>
          <w:color w:val="202124"/>
          <w:shd w:val="clear" w:color="auto" w:fill="FFFFFF"/>
        </w:rPr>
        <w:t>Texas Commission of Environmental Quality (</w:t>
      </w:r>
      <w:r w:rsidR="00A56468" w:rsidRPr="00A56468">
        <w:rPr>
          <w:color w:val="202124"/>
        </w:rPr>
        <w:t>TCEQ</w:t>
      </w:r>
      <w:r w:rsidR="00A56468">
        <w:rPr>
          <w:color w:val="202124"/>
          <w:shd w:val="clear" w:color="auto" w:fill="FFFFFF"/>
        </w:rPr>
        <w:t xml:space="preserve">) </w:t>
      </w:r>
      <w:r w:rsidRPr="00A56468">
        <w:t xml:space="preserve">permits, </w:t>
      </w:r>
      <w:r w:rsidR="00E6751D" w:rsidRPr="00A56468">
        <w:t>etc.</w:t>
      </w:r>
    </w:p>
    <w:p w14:paraId="3A0381B1" w14:textId="74CC8E2D" w:rsidR="00443089" w:rsidRPr="00660119" w:rsidRDefault="003261BD" w:rsidP="00E54478">
      <w:pPr>
        <w:pStyle w:val="2Bulletedlist-Arial11"/>
        <w:numPr>
          <w:ilvl w:val="0"/>
          <w:numId w:val="58"/>
        </w:numPr>
        <w:spacing w:line="240" w:lineRule="auto"/>
      </w:pPr>
      <w:r w:rsidRPr="00660119">
        <w:t>Commercial advertising and public relations costs such as the</w:t>
      </w:r>
      <w:r w:rsidR="00514BF6" w:rsidRPr="00660119">
        <w:t xml:space="preserve"> replacement or</w:t>
      </w:r>
      <w:r w:rsidRPr="00660119">
        <w:t xml:space="preserve"> addition of a logo, water system name, or other cosmetic painting on TxCDBG-funded water tanks</w:t>
      </w:r>
      <w:r w:rsidR="00D17774" w:rsidRPr="00660119">
        <w:t xml:space="preserve"> and other structures</w:t>
      </w:r>
      <w:r w:rsidR="00057BD4">
        <w:t>.</w:t>
      </w:r>
    </w:p>
    <w:p w14:paraId="33934742" w14:textId="45537DBD" w:rsidR="007F4F62" w:rsidRDefault="007F4F62" w:rsidP="00E54478">
      <w:pPr>
        <w:pStyle w:val="2Bulletedlist-Arial11"/>
        <w:numPr>
          <w:ilvl w:val="0"/>
          <w:numId w:val="58"/>
        </w:numPr>
        <w:spacing w:line="240" w:lineRule="auto"/>
      </w:pPr>
      <w:r w:rsidRPr="00660119">
        <w:t>Costs associated with professional administration where the administrator had not been certified by TDA.</w:t>
      </w:r>
      <w:r w:rsidR="00E32DDC">
        <w:rPr>
          <w:rStyle w:val="FootnoteReference"/>
        </w:rPr>
        <w:footnoteReference w:id="2"/>
      </w:r>
      <w:r w:rsidRPr="00660119">
        <w:t xml:space="preserve">  </w:t>
      </w:r>
    </w:p>
    <w:p w14:paraId="1463F5EA" w14:textId="442F29A6" w:rsidR="003B154A" w:rsidRPr="003235FF" w:rsidRDefault="003B154A" w:rsidP="00E54478">
      <w:pPr>
        <w:pStyle w:val="2Bulletedlist-Arial11"/>
        <w:numPr>
          <w:ilvl w:val="0"/>
          <w:numId w:val="58"/>
        </w:numPr>
        <w:spacing w:line="240" w:lineRule="auto"/>
      </w:pPr>
      <w:r w:rsidRPr="003235FF">
        <w:t>Remobilization costs</w:t>
      </w:r>
      <w:r w:rsidR="00090B3D" w:rsidRPr="003235FF">
        <w:t xml:space="preserve">, unless determined by TDA to be outside of the Grant Recipient’s </w:t>
      </w:r>
      <w:proofErr w:type="gramStart"/>
      <w:r w:rsidR="00090B3D" w:rsidRPr="003235FF">
        <w:t>control;</w:t>
      </w:r>
      <w:proofErr w:type="gramEnd"/>
      <w:r w:rsidR="00090B3D" w:rsidRPr="003235FF">
        <w:t xml:space="preserve"> </w:t>
      </w:r>
    </w:p>
    <w:p w14:paraId="34216E4B" w14:textId="4884CA97" w:rsidR="007269F9" w:rsidRPr="00660119" w:rsidRDefault="00443089" w:rsidP="00E54478">
      <w:pPr>
        <w:pStyle w:val="2Bulletedlist-Arial11"/>
        <w:numPr>
          <w:ilvl w:val="0"/>
          <w:numId w:val="58"/>
        </w:numPr>
        <w:spacing w:line="240" w:lineRule="auto"/>
      </w:pPr>
      <w:r w:rsidRPr="00660119">
        <w:t>Cost or fees charged for t</w:t>
      </w:r>
      <w:r w:rsidR="007412C3" w:rsidRPr="00660119">
        <w:t xml:space="preserve">he preparation of a TxCDBG </w:t>
      </w:r>
      <w:r w:rsidRPr="00660119">
        <w:t xml:space="preserve">application; </w:t>
      </w:r>
      <w:r w:rsidR="003261BD" w:rsidRPr="00660119">
        <w:t xml:space="preserve">and </w:t>
      </w:r>
    </w:p>
    <w:p w14:paraId="0190F962" w14:textId="77777777" w:rsidR="007269F9" w:rsidRPr="00660119" w:rsidRDefault="007269F9" w:rsidP="00E54478">
      <w:pPr>
        <w:pStyle w:val="2Bulletedlist-Arial11"/>
        <w:numPr>
          <w:ilvl w:val="0"/>
          <w:numId w:val="58"/>
        </w:numPr>
        <w:spacing w:line="240" w:lineRule="auto"/>
      </w:pPr>
      <w:r w:rsidRPr="00660119">
        <w:t>Other similar costs.</w:t>
      </w:r>
    </w:p>
    <w:p w14:paraId="31BBD8AE" w14:textId="77777777" w:rsidR="007269F9" w:rsidRPr="00BF375E" w:rsidRDefault="007269F9" w:rsidP="00D9076A"/>
    <w:p w14:paraId="343FD1C3" w14:textId="5A7B58D0" w:rsidR="00726CE4" w:rsidRPr="006D3F1E" w:rsidRDefault="007269F9" w:rsidP="002C2A7D">
      <w:pPr>
        <w:pStyle w:val="1BODY-Arial11"/>
        <w:rPr>
          <w:b/>
        </w:rPr>
      </w:pPr>
      <w:r w:rsidRPr="006D3F1E">
        <w:t xml:space="preserve">Refer to 2 CFR </w:t>
      </w:r>
      <w:r w:rsidR="00987DF2" w:rsidRPr="006D3F1E">
        <w:t>Part 200</w:t>
      </w:r>
      <w:r w:rsidR="00AB04B7">
        <w:t>,</w:t>
      </w:r>
      <w:r w:rsidR="00987DF2" w:rsidRPr="006D3F1E">
        <w:t xml:space="preserve"> </w:t>
      </w:r>
      <w:r w:rsidRPr="006D3F1E">
        <w:t>Subpart E</w:t>
      </w:r>
      <w:r w:rsidR="00834C4C">
        <w:t>: C</w:t>
      </w:r>
      <w:r w:rsidRPr="006D3F1E">
        <w:t xml:space="preserve">ost </w:t>
      </w:r>
      <w:r w:rsidR="00F87D4F" w:rsidRPr="006D3F1E">
        <w:t>p</w:t>
      </w:r>
      <w:r w:rsidRPr="006D3F1E">
        <w:t xml:space="preserve">rinciples for the basic guidelines of eligible costs. If the Grant Recipient will be incurring any special or unusual costs, the Grant Recipient </w:t>
      </w:r>
      <w:r w:rsidR="0060044F" w:rsidRPr="006D3F1E">
        <w:t xml:space="preserve">shall </w:t>
      </w:r>
      <w:r w:rsidRPr="006D3F1E">
        <w:t>seek pr</w:t>
      </w:r>
      <w:r w:rsidR="00D04614" w:rsidRPr="006D3F1E">
        <w:t>ior written approval from TDA.</w:t>
      </w:r>
      <w:r w:rsidR="00E32DDC">
        <w:rPr>
          <w:rStyle w:val="FootnoteReference"/>
        </w:rPr>
        <w:footnoteReference w:id="3"/>
      </w:r>
    </w:p>
    <w:p w14:paraId="4E475386" w14:textId="77777777" w:rsidR="00834C4C" w:rsidRDefault="00834C4C" w:rsidP="00E54478"/>
    <w:p w14:paraId="14CB78A2" w14:textId="77777777" w:rsidR="002E66C3" w:rsidRDefault="002E66C3" w:rsidP="00E54478"/>
    <w:p w14:paraId="6D7261B6" w14:textId="77777777" w:rsidR="002E66C3" w:rsidRPr="001A2FBF" w:rsidRDefault="002E66C3" w:rsidP="00E54478"/>
    <w:p w14:paraId="49FDDDE5" w14:textId="13F8F7B2" w:rsidR="001F32F3" w:rsidRDefault="001F32F3" w:rsidP="00E54478">
      <w:pPr>
        <w:pStyle w:val="Heading2"/>
      </w:pPr>
      <w:bookmarkStart w:id="100" w:name="_Toc46134394"/>
      <w:bookmarkStart w:id="101" w:name="_Toc123110535"/>
      <w:bookmarkStart w:id="102" w:name="_Toc123198164"/>
      <w:bookmarkStart w:id="103" w:name="_Toc123198399"/>
      <w:bookmarkStart w:id="104" w:name="_Toc171781495"/>
      <w:r w:rsidRPr="00260E6C">
        <w:t>2.</w:t>
      </w:r>
      <w:r w:rsidR="00DD17EF">
        <w:t>4</w:t>
      </w:r>
      <w:r>
        <w:t>.4</w:t>
      </w:r>
      <w:r w:rsidRPr="00260E6C">
        <w:t xml:space="preserve"> </w:t>
      </w:r>
      <w:bookmarkEnd w:id="100"/>
      <w:r w:rsidR="0029768E">
        <w:t>Payment Revisions</w:t>
      </w:r>
      <w:bookmarkEnd w:id="101"/>
      <w:bookmarkEnd w:id="102"/>
      <w:bookmarkEnd w:id="103"/>
      <w:bookmarkEnd w:id="104"/>
    </w:p>
    <w:p w14:paraId="031F2883" w14:textId="77777777" w:rsidR="0060044F" w:rsidRPr="0060044F" w:rsidRDefault="0060044F" w:rsidP="00E54478"/>
    <w:p w14:paraId="42E4CB0F" w14:textId="46E08D21" w:rsidR="00E32DDC" w:rsidRDefault="00E32DDC" w:rsidP="00D9076A">
      <w:r>
        <w:t xml:space="preserve">Detailed step-by-step instructions for submitting a Payment Revision in TDA-GO may be found on the TDA website. </w:t>
      </w:r>
    </w:p>
    <w:p w14:paraId="0C6BA7AD" w14:textId="77777777" w:rsidR="00D96482" w:rsidRDefault="00D96482" w:rsidP="00D9076A"/>
    <w:p w14:paraId="316B3BC7" w14:textId="0C5404E1" w:rsidR="0029768E" w:rsidRPr="006D3F1E" w:rsidRDefault="00950AFC" w:rsidP="00D9076A">
      <w:pPr>
        <w:rPr>
          <w:b/>
        </w:rPr>
      </w:pPr>
      <w:r>
        <w:rPr>
          <w:b/>
        </w:rPr>
        <w:t>NOTE:</w:t>
      </w:r>
      <w:r w:rsidR="0029768E" w:rsidRPr="006D3F1E">
        <w:t xml:space="preserve"> </w:t>
      </w:r>
      <w:r>
        <w:t>The</w:t>
      </w:r>
      <w:r w:rsidR="0029768E" w:rsidRPr="006D3F1E">
        <w:t xml:space="preserve"> practice of expending funds not in agreement with the purpose for which they were requested demonstrates insufficient capacity to manage and implement TxCDBG funded projects and may result in disallowed costs and/or ineligibility for program funding. Failure to submit this revision as soon as the error becomes known during the </w:t>
      </w:r>
      <w:r w:rsidR="0080050B">
        <w:t>Grant Agreement</w:t>
      </w:r>
      <w:r w:rsidR="0029768E" w:rsidRPr="006D3F1E">
        <w:t xml:space="preserve"> period may also result in costs being disallowed. </w:t>
      </w:r>
      <w:r w:rsidR="00022469" w:rsidRPr="006D3F1E">
        <w:t xml:space="preserve">Please contact </w:t>
      </w:r>
      <w:r w:rsidR="00D96482">
        <w:t>TDA staff</w:t>
      </w:r>
      <w:r w:rsidR="00022469" w:rsidRPr="006D3F1E">
        <w:t xml:space="preserve"> with any questions.</w:t>
      </w:r>
    </w:p>
    <w:p w14:paraId="6563A5B7" w14:textId="3B6B9B4D" w:rsidR="00BC401C" w:rsidRPr="006D3F1E" w:rsidRDefault="00BC401C" w:rsidP="00E54478"/>
    <w:p w14:paraId="24D77FC2" w14:textId="77777777" w:rsidR="005D36D9" w:rsidRPr="006D3F1E" w:rsidRDefault="005D36D9" w:rsidP="00E54478">
      <w:pPr>
        <w:rPr>
          <w:rFonts w:cs="Arial"/>
          <w:color w:val="000000" w:themeColor="text1"/>
          <w:szCs w:val="22"/>
        </w:rPr>
      </w:pPr>
      <w:bookmarkStart w:id="105" w:name="_Toc7269268"/>
      <w:bookmarkStart w:id="106" w:name="_Toc38100393"/>
    </w:p>
    <w:p w14:paraId="7A4D0DD0" w14:textId="45ADB1CF" w:rsidR="00EA7E4D" w:rsidRPr="006D3F1E" w:rsidRDefault="00B53E57" w:rsidP="00E54478">
      <w:pPr>
        <w:pStyle w:val="Heading1"/>
        <w:rPr>
          <w:bCs/>
          <w:color w:val="000000" w:themeColor="text1"/>
        </w:rPr>
      </w:pPr>
      <w:bookmarkStart w:id="107" w:name="_Toc46134399"/>
      <w:bookmarkStart w:id="108" w:name="_Toc123110536"/>
      <w:bookmarkStart w:id="109" w:name="_Toc123198165"/>
      <w:bookmarkStart w:id="110" w:name="_Toc123198400"/>
      <w:bookmarkStart w:id="111" w:name="_Toc171781496"/>
      <w:bookmarkEnd w:id="35"/>
      <w:bookmarkEnd w:id="36"/>
      <w:bookmarkEnd w:id="105"/>
      <w:bookmarkEnd w:id="106"/>
      <w:r w:rsidRPr="006D3F1E">
        <w:rPr>
          <w:bCs/>
          <w:color w:val="000000" w:themeColor="text1"/>
        </w:rPr>
        <w:t>2.</w:t>
      </w:r>
      <w:r w:rsidR="00DD17EF">
        <w:rPr>
          <w:bCs/>
          <w:color w:val="000000" w:themeColor="text1"/>
        </w:rPr>
        <w:t>5</w:t>
      </w:r>
      <w:r w:rsidRPr="006D3F1E">
        <w:rPr>
          <w:bCs/>
          <w:color w:val="000000" w:themeColor="text1"/>
        </w:rPr>
        <w:t xml:space="preserve"> </w:t>
      </w:r>
      <w:r w:rsidR="002312A2" w:rsidRPr="006D3F1E">
        <w:rPr>
          <w:bCs/>
          <w:color w:val="000000" w:themeColor="text1"/>
        </w:rPr>
        <w:t>Program Income</w:t>
      </w:r>
      <w:bookmarkEnd w:id="107"/>
      <w:bookmarkEnd w:id="108"/>
      <w:bookmarkEnd w:id="109"/>
      <w:bookmarkEnd w:id="110"/>
      <w:bookmarkEnd w:id="111"/>
    </w:p>
    <w:p w14:paraId="7917EAAE" w14:textId="77777777" w:rsidR="00B53E57" w:rsidRPr="006D3F1E" w:rsidRDefault="00B53E57" w:rsidP="00E54478">
      <w:pPr>
        <w:rPr>
          <w:rFonts w:cs="Arial"/>
          <w:color w:val="000000" w:themeColor="text1"/>
        </w:rPr>
      </w:pPr>
    </w:p>
    <w:p w14:paraId="25931ACF" w14:textId="0103BCBC" w:rsidR="007269F9" w:rsidRPr="006D3F1E" w:rsidRDefault="002312A2" w:rsidP="00D9076A">
      <w:pPr>
        <w:rPr>
          <w:b/>
        </w:rPr>
      </w:pPr>
      <w:r w:rsidRPr="006D3F1E">
        <w:t xml:space="preserve">Program income is defined as gross income received by the </w:t>
      </w:r>
      <w:r w:rsidR="00A778B9" w:rsidRPr="006D3F1E">
        <w:t>Grant Recipient</w:t>
      </w:r>
      <w:r w:rsidRPr="006D3F1E">
        <w:t xml:space="preserve"> that was generated from activities funded in whole or in part by the </w:t>
      </w:r>
      <w:r w:rsidR="00692C4E" w:rsidRPr="006D3F1E">
        <w:t>TxCDBG</w:t>
      </w:r>
      <w:r w:rsidRPr="006D3F1E">
        <w:t xml:space="preserve"> </w:t>
      </w:r>
      <w:r w:rsidR="0080050B">
        <w:t>Grant Agreement</w:t>
      </w:r>
      <w:r w:rsidRPr="006D3F1E">
        <w:t>.</w:t>
      </w:r>
      <w:r w:rsidR="002C7390" w:rsidRPr="006D3F1E">
        <w:t xml:space="preserve"> </w:t>
      </w:r>
      <w:r w:rsidR="00CE79CD" w:rsidRPr="006D3F1E">
        <w:t xml:space="preserve">As program income generated from a </w:t>
      </w:r>
      <w:r w:rsidR="00E85E7F" w:rsidRPr="006D3F1E">
        <w:t>Tx</w:t>
      </w:r>
      <w:r w:rsidR="00CE79CD" w:rsidRPr="006D3F1E">
        <w:t>CDBG federally funded project, it is subject to all federal requirements.</w:t>
      </w:r>
      <w:r w:rsidR="002C7390" w:rsidRPr="006D3F1E">
        <w:t xml:space="preserve"> </w:t>
      </w:r>
      <w:r w:rsidR="00AB0231" w:rsidRPr="006D3F1E">
        <w:t>If a Grant Recipient earns program income, contact TDA</w:t>
      </w:r>
      <w:r w:rsidR="002C7390" w:rsidRPr="006D3F1E">
        <w:t>.</w:t>
      </w:r>
      <w:bookmarkStart w:id="112" w:name="_Toc504554660"/>
      <w:bookmarkStart w:id="113" w:name="_Toc7269270"/>
      <w:bookmarkStart w:id="114" w:name="_Toc38100395"/>
      <w:r w:rsidR="00E32DDC">
        <w:rPr>
          <w:rStyle w:val="FootnoteReference"/>
        </w:rPr>
        <w:footnoteReference w:id="4"/>
      </w:r>
    </w:p>
    <w:p w14:paraId="17784BF2" w14:textId="77777777" w:rsidR="00977FB5" w:rsidRPr="006D3F1E" w:rsidRDefault="00977FB5" w:rsidP="00D9076A"/>
    <w:p w14:paraId="7D064718" w14:textId="29FA7643" w:rsidR="00786D1F" w:rsidRPr="006D3F1E" w:rsidRDefault="00786D1F" w:rsidP="00D9076A">
      <w:pPr>
        <w:rPr>
          <w:b/>
        </w:rPr>
      </w:pPr>
      <w:r w:rsidRPr="006D3F1E">
        <w:t xml:space="preserve">The TxCDBG program is required to </w:t>
      </w:r>
      <w:r w:rsidR="00886C1F" w:rsidRPr="006D3F1E">
        <w:t>receipt</w:t>
      </w:r>
      <w:r w:rsidRPr="006D3F1E">
        <w:t xml:space="preserve"> program income payments</w:t>
      </w:r>
      <w:r w:rsidR="00E32DDC">
        <w:t xml:space="preserve">, </w:t>
      </w:r>
      <w:r w:rsidRPr="006D3F1E">
        <w:t>including general program income returned to the TxCDBG program, general program income retained by the unit of general local government (UGLG), revolving fund, and state revolving fund payments</w:t>
      </w:r>
      <w:r w:rsidR="003B2AE3">
        <w:t xml:space="preserve">, </w:t>
      </w:r>
      <w:r w:rsidRPr="006D3F1E">
        <w:t xml:space="preserve">in HUD’s </w:t>
      </w:r>
      <w:r w:rsidR="002C7390" w:rsidRPr="006D3F1E">
        <w:t>Integrated Disbursement and Information System (</w:t>
      </w:r>
      <w:r w:rsidRPr="006D3F1E">
        <w:t>IDIS</w:t>
      </w:r>
      <w:r w:rsidR="002C7390" w:rsidRPr="006D3F1E">
        <w:t xml:space="preserve">) </w:t>
      </w:r>
      <w:r w:rsidRPr="006D3F1E">
        <w:t>on an annual basis.</w:t>
      </w:r>
      <w:r w:rsidR="002C7390" w:rsidRPr="006D3F1E">
        <w:t xml:space="preserve"> </w:t>
      </w:r>
      <w:r w:rsidRPr="006D3F1E">
        <w:t xml:space="preserve">As a nationwide database, IDIS provides HUD with current information regarding the program activities underway across the </w:t>
      </w:r>
      <w:r w:rsidR="002C7390" w:rsidRPr="006D3F1E">
        <w:t>n</w:t>
      </w:r>
      <w:r w:rsidRPr="006D3F1E">
        <w:t>ation, including funding data.</w:t>
      </w:r>
    </w:p>
    <w:p w14:paraId="74E26F28" w14:textId="77777777" w:rsidR="00786D1F" w:rsidRPr="006D3F1E" w:rsidRDefault="00786D1F" w:rsidP="00D9076A"/>
    <w:p w14:paraId="2DCF5315" w14:textId="5C796405" w:rsidR="00786D1F" w:rsidRPr="006D3F1E" w:rsidRDefault="00786D1F" w:rsidP="00D9076A">
      <w:pPr>
        <w:rPr>
          <w:b/>
          <w:strike/>
        </w:rPr>
      </w:pPr>
      <w:r w:rsidRPr="006D3F1E">
        <w:t xml:space="preserve">Total </w:t>
      </w:r>
      <w:r w:rsidR="0055006B" w:rsidRPr="006D3F1E">
        <w:t xml:space="preserve">program income </w:t>
      </w:r>
      <w:r w:rsidR="008F3F2C" w:rsidRPr="006D3F1E">
        <w:t xml:space="preserve">under $35,000 received by Grant Recipients </w:t>
      </w:r>
      <w:r w:rsidR="005840D0" w:rsidRPr="006D3F1E">
        <w:t>in a single</w:t>
      </w:r>
      <w:r w:rsidRPr="006D3F1E">
        <w:t xml:space="preserve"> year</w:t>
      </w:r>
      <w:r w:rsidR="005840D0" w:rsidRPr="006D3F1E">
        <w:t xml:space="preserve"> from activities, </w:t>
      </w:r>
      <w:r w:rsidR="002C2657" w:rsidRPr="006D3F1E">
        <w:t>other than revolving loan funds that are retained by a Grant Recipient</w:t>
      </w:r>
      <w:r w:rsidRPr="006D3F1E">
        <w:t>, do not have to be reported as program income and would not be receipted in IDIS</w:t>
      </w:r>
      <w:r w:rsidR="002C7390" w:rsidRPr="006D3F1E">
        <w:t>. A</w:t>
      </w:r>
      <w:r w:rsidR="002C2657" w:rsidRPr="006D3F1E">
        <w:t>ll funds received from revolving loan funds are considered program income</w:t>
      </w:r>
      <w:r w:rsidR="00125EF1" w:rsidRPr="006D3F1E">
        <w:t xml:space="preserve"> regardless of amount</w:t>
      </w:r>
      <w:r w:rsidR="002C7390" w:rsidRPr="006D3F1E">
        <w:t>.</w:t>
      </w:r>
      <w:r w:rsidRPr="006D3F1E">
        <w:t xml:space="preserve"> Once the annual total equals or exceeds $35,000, the entirety is to be reported. </w:t>
      </w:r>
    </w:p>
    <w:p w14:paraId="05B328B8" w14:textId="77777777" w:rsidR="00786D1F" w:rsidRPr="006D3F1E" w:rsidRDefault="00786D1F" w:rsidP="00D9076A">
      <w:pPr>
        <w:rPr>
          <w:rFonts w:cs="Arial"/>
          <w:color w:val="000000" w:themeColor="text1"/>
          <w:szCs w:val="22"/>
        </w:rPr>
      </w:pPr>
    </w:p>
    <w:p w14:paraId="2A61DCC0" w14:textId="77777777" w:rsidR="003B2AE3" w:rsidRDefault="00786D1F" w:rsidP="00D9076A">
      <w:r w:rsidRPr="006D3F1E">
        <w:t>An exemption in the definition of program income is when renting property; program income is the gross income less any costs incidental to the generation of that income.</w:t>
      </w:r>
      <w:r w:rsidR="00BD5034">
        <w:t xml:space="preserve"> </w:t>
      </w:r>
    </w:p>
    <w:p w14:paraId="1D432D5A" w14:textId="77777777" w:rsidR="00F50A33" w:rsidRDefault="00F50A33" w:rsidP="00D9076A"/>
    <w:p w14:paraId="0AACC1D1" w14:textId="70339735" w:rsidR="005D36D9" w:rsidRDefault="00BD5034" w:rsidP="00D9076A">
      <w:r w:rsidRPr="00BD5034">
        <w:rPr>
          <w:b/>
        </w:rPr>
        <w:t>EXAMPLE</w:t>
      </w:r>
      <w:r>
        <w:t>: I</w:t>
      </w:r>
      <w:r w:rsidR="00786D1F" w:rsidRPr="006D3F1E">
        <w:t xml:space="preserve">f renting a </w:t>
      </w:r>
      <w:r w:rsidR="00D96482">
        <w:t xml:space="preserve">TxCDBG funded </w:t>
      </w:r>
      <w:r w:rsidR="00786D1F" w:rsidRPr="006D3F1E">
        <w:t>community center for events, the portion of the rental payments used for maintenance and staff would be incidental to the operations, and therefore would not</w:t>
      </w:r>
      <w:r w:rsidR="002D325B" w:rsidRPr="006D3F1E">
        <w:t xml:space="preserve"> be</w:t>
      </w:r>
      <w:r w:rsidR="00786D1F" w:rsidRPr="006D3F1E">
        <w:t xml:space="preserve"> considered program income. </w:t>
      </w:r>
    </w:p>
    <w:p w14:paraId="6F374D9F" w14:textId="15D68014" w:rsidR="00382C16" w:rsidRDefault="00382C16" w:rsidP="00E54478">
      <w:pPr>
        <w:rPr>
          <w:color w:val="000000" w:themeColor="text1"/>
        </w:rPr>
      </w:pPr>
    </w:p>
    <w:p w14:paraId="60FC31C4" w14:textId="276995D7" w:rsidR="002D67DF" w:rsidRPr="00837C1E" w:rsidRDefault="002D67DF" w:rsidP="00E54478">
      <w:pPr>
        <w:rPr>
          <w:rFonts w:cs="Arial"/>
          <w:color w:val="000000" w:themeColor="text1"/>
          <w:szCs w:val="22"/>
        </w:rPr>
      </w:pPr>
      <w:r w:rsidRPr="00837C1E">
        <w:rPr>
          <w:rFonts w:cs="Arial"/>
          <w:color w:val="000000" w:themeColor="text1"/>
          <w:szCs w:val="22"/>
        </w:rPr>
        <w:t>Grant Recipients that generate program income must contact TDA for directions on reporting and returning program income to the State.</w:t>
      </w:r>
    </w:p>
    <w:p w14:paraId="0665A5DC" w14:textId="775669ED" w:rsidR="00382C16" w:rsidRDefault="00382C16" w:rsidP="00E54478">
      <w:pPr>
        <w:rPr>
          <w:color w:val="000000" w:themeColor="text1"/>
        </w:rPr>
      </w:pPr>
    </w:p>
    <w:p w14:paraId="492AAA0D" w14:textId="77777777" w:rsidR="00382C16" w:rsidRPr="006D3F1E" w:rsidRDefault="00382C16" w:rsidP="00E54478">
      <w:pPr>
        <w:rPr>
          <w:color w:val="000000" w:themeColor="text1"/>
        </w:rPr>
      </w:pPr>
    </w:p>
    <w:p w14:paraId="072D7A4D" w14:textId="56487125" w:rsidR="00E034BD" w:rsidRDefault="001F32F3" w:rsidP="00E54478">
      <w:pPr>
        <w:pStyle w:val="Heading1"/>
        <w:rPr>
          <w:bCs/>
          <w:color w:val="000000" w:themeColor="text1"/>
        </w:rPr>
      </w:pPr>
      <w:bookmarkStart w:id="115" w:name="_Toc46134400"/>
      <w:bookmarkStart w:id="116" w:name="_Toc123110537"/>
      <w:bookmarkStart w:id="117" w:name="_Toc123198166"/>
      <w:bookmarkStart w:id="118" w:name="_Toc123198401"/>
      <w:bookmarkStart w:id="119" w:name="_Toc171781497"/>
      <w:r w:rsidRPr="006D3F1E">
        <w:rPr>
          <w:bCs/>
          <w:color w:val="000000" w:themeColor="text1"/>
        </w:rPr>
        <w:t>2.</w:t>
      </w:r>
      <w:r w:rsidR="00DD17EF">
        <w:rPr>
          <w:bCs/>
          <w:color w:val="000000" w:themeColor="text1"/>
        </w:rPr>
        <w:t>6</w:t>
      </w:r>
      <w:r w:rsidRPr="006D3F1E">
        <w:rPr>
          <w:bCs/>
          <w:color w:val="000000" w:themeColor="text1"/>
        </w:rPr>
        <w:t xml:space="preserve"> Investigation of Fraud Allegations</w:t>
      </w:r>
      <w:bookmarkEnd w:id="115"/>
      <w:bookmarkEnd w:id="116"/>
      <w:bookmarkEnd w:id="117"/>
      <w:bookmarkEnd w:id="118"/>
      <w:bookmarkEnd w:id="119"/>
    </w:p>
    <w:p w14:paraId="07ED50C4" w14:textId="77777777" w:rsidR="00E034BD" w:rsidRDefault="00E034BD" w:rsidP="00E54478"/>
    <w:p w14:paraId="5259CE99" w14:textId="14E461A6" w:rsidR="001F32F3" w:rsidRPr="006D3F1E" w:rsidRDefault="001F32F3" w:rsidP="00D9076A">
      <w:pPr>
        <w:rPr>
          <w:b/>
        </w:rPr>
      </w:pPr>
      <w:bookmarkStart w:id="120" w:name="_Hlk170743885"/>
      <w:r w:rsidRPr="006D3F1E">
        <w:t>Allegations of fraud may be reported to TDA or to the HUD Office of the Inspector General.</w:t>
      </w:r>
      <w:r w:rsidR="00D01461">
        <w:t xml:space="preserve"> The report must include </w:t>
      </w:r>
      <w:r w:rsidR="00D01461" w:rsidRPr="00D01461">
        <w:t xml:space="preserve">a written statement in support of </w:t>
      </w:r>
      <w:r w:rsidR="00D01461">
        <w:t xml:space="preserve">the </w:t>
      </w:r>
      <w:r w:rsidR="00D01461" w:rsidRPr="00D01461">
        <w:t>alleg</w:t>
      </w:r>
      <w:r w:rsidR="00D01461">
        <w:t>ed</w:t>
      </w:r>
      <w:r w:rsidR="00D01461" w:rsidRPr="00D01461">
        <w:t xml:space="preserve"> fraud, waste, abuse, and/or mismanagement.</w:t>
      </w:r>
      <w:r w:rsidR="00D01461">
        <w:t xml:space="preserve"> </w:t>
      </w:r>
      <w:r w:rsidRPr="006D3F1E">
        <w:t>Allegations of fraud involving any TxCDBG funds will be investigated immediately after being brought to the attention of TDA, through whatever source.</w:t>
      </w:r>
    </w:p>
    <w:p w14:paraId="1D9AE07F" w14:textId="59A320EE" w:rsidR="00D812D3" w:rsidRPr="003D710E" w:rsidRDefault="00D812D3" w:rsidP="00D9076A"/>
    <w:p w14:paraId="37E88018" w14:textId="13059728" w:rsidR="009C1D3D" w:rsidRDefault="00D812D3" w:rsidP="00D9076A">
      <w:r w:rsidRPr="006D3F1E">
        <w:t xml:space="preserve">Contact information to report </w:t>
      </w:r>
      <w:r w:rsidRPr="003235FF">
        <w:rPr>
          <w:b/>
          <w:bCs/>
        </w:rPr>
        <w:t>FRAUD</w:t>
      </w:r>
      <w:r w:rsidRPr="006D3F1E">
        <w:t xml:space="preserve"> or </w:t>
      </w:r>
      <w:r w:rsidRPr="003235FF">
        <w:rPr>
          <w:b/>
          <w:bCs/>
        </w:rPr>
        <w:t>WASTE</w:t>
      </w:r>
      <w:r w:rsidRPr="006D3F1E">
        <w:t xml:space="preserve"> in HUD-funded </w:t>
      </w:r>
      <w:r w:rsidR="007A2A42" w:rsidRPr="006D3F1E">
        <w:t>p</w:t>
      </w:r>
      <w:r w:rsidRPr="006D3F1E">
        <w:t xml:space="preserve">rograms and </w:t>
      </w:r>
      <w:r w:rsidR="007A2A42" w:rsidRPr="006D3F1E">
        <w:t>o</w:t>
      </w:r>
      <w:r w:rsidRPr="006D3F1E">
        <w:t>perations</w:t>
      </w:r>
      <w:r w:rsidR="009C1D3D" w:rsidRPr="006D3F1E">
        <w:t>:</w:t>
      </w:r>
    </w:p>
    <w:p w14:paraId="3F55C013" w14:textId="71AC28E9" w:rsidR="00D812D3" w:rsidRPr="006D3F1E" w:rsidRDefault="00D812D3" w:rsidP="00D9076A">
      <w:pPr>
        <w:ind w:left="2160"/>
        <w:rPr>
          <w:b/>
        </w:rPr>
      </w:pPr>
      <w:r w:rsidRPr="006D3F1E">
        <w:t xml:space="preserve">HUD Inspector General Hotline </w:t>
      </w:r>
    </w:p>
    <w:p w14:paraId="57B65FB5" w14:textId="77777777" w:rsidR="00D812D3" w:rsidRPr="006D3F1E" w:rsidRDefault="00D812D3" w:rsidP="00D9076A">
      <w:pPr>
        <w:ind w:left="2160"/>
        <w:rPr>
          <w:b/>
        </w:rPr>
      </w:pPr>
      <w:r w:rsidRPr="006D3F1E">
        <w:t>451 Seventh Street, SW</w:t>
      </w:r>
    </w:p>
    <w:p w14:paraId="0A82958C" w14:textId="77777777" w:rsidR="00D812D3" w:rsidRPr="006D3F1E" w:rsidRDefault="00D812D3" w:rsidP="00D9076A">
      <w:pPr>
        <w:ind w:left="2160"/>
        <w:rPr>
          <w:b/>
        </w:rPr>
      </w:pPr>
      <w:r w:rsidRPr="006D3F1E">
        <w:t>Washington, D.C. 20410</w:t>
      </w:r>
    </w:p>
    <w:p w14:paraId="4B4455CF" w14:textId="0BC3D5BC" w:rsidR="00D812D3" w:rsidRDefault="00D812D3" w:rsidP="00D9076A">
      <w:pPr>
        <w:ind w:left="2160"/>
      </w:pPr>
      <w:r w:rsidRPr="006D3F1E">
        <w:t>HUD-OIG Hotline toll-free 800-347-3735</w:t>
      </w:r>
      <w:r w:rsidR="00CC4F43" w:rsidRPr="006D3F1E">
        <w:t xml:space="preserve">   |   </w:t>
      </w:r>
      <w:r w:rsidRPr="006D3F1E">
        <w:t>FAX: 202-708-4829</w:t>
      </w:r>
    </w:p>
    <w:bookmarkEnd w:id="120"/>
    <w:p w14:paraId="72EB4198" w14:textId="77777777" w:rsidR="000E219F" w:rsidRPr="006D3F1E" w:rsidRDefault="000E219F" w:rsidP="00D9076A">
      <w:pPr>
        <w:ind w:left="2160"/>
        <w:rPr>
          <w:b/>
        </w:rPr>
      </w:pPr>
    </w:p>
    <w:p w14:paraId="62333E86" w14:textId="37703F07" w:rsidR="00D812D3" w:rsidRPr="006D3F1E" w:rsidRDefault="00D812D3" w:rsidP="00D9076A">
      <w:pPr>
        <w:rPr>
          <w:b/>
        </w:rPr>
      </w:pPr>
      <w:r w:rsidRPr="006D3F1E">
        <w:t xml:space="preserve">See </w:t>
      </w:r>
      <w:r w:rsidRPr="003D710E">
        <w:rPr>
          <w:i/>
          <w:iCs/>
        </w:rPr>
        <w:t>Appendix A</w:t>
      </w:r>
      <w:r w:rsidRPr="006D3F1E">
        <w:t xml:space="preserve"> for email and website information</w:t>
      </w:r>
      <w:r w:rsidR="00113BC9">
        <w:t>.</w:t>
      </w:r>
    </w:p>
    <w:p w14:paraId="5A57A0F1" w14:textId="76981F1F" w:rsidR="001F32F3" w:rsidRPr="006D3F1E" w:rsidRDefault="001F32F3" w:rsidP="00D9076A"/>
    <w:p w14:paraId="6EC623D3" w14:textId="77777777" w:rsidR="001F32F3" w:rsidRPr="006D3F1E" w:rsidRDefault="001F32F3" w:rsidP="00D9076A">
      <w:pPr>
        <w:rPr>
          <w:b/>
        </w:rPr>
      </w:pPr>
      <w:r w:rsidRPr="006D3F1E">
        <w:t>An investigation will be conducted if the allegations are made in connection with the services provided by a Grant Recipient using TxCDBG funds. TDA will immediately:</w:t>
      </w:r>
    </w:p>
    <w:p w14:paraId="42595388" w14:textId="73C7015B" w:rsidR="001F32F3" w:rsidRPr="006D3F1E" w:rsidRDefault="001F32F3" w:rsidP="00E54478">
      <w:pPr>
        <w:pStyle w:val="2Bulletedlist-Arial11"/>
        <w:numPr>
          <w:ilvl w:val="0"/>
          <w:numId w:val="68"/>
        </w:numPr>
        <w:spacing w:line="240" w:lineRule="auto"/>
        <w:rPr>
          <w:color w:val="000000" w:themeColor="text1"/>
        </w:rPr>
      </w:pPr>
      <w:r w:rsidRPr="006D3F1E">
        <w:rPr>
          <w:color w:val="000000" w:themeColor="text1"/>
        </w:rPr>
        <w:t xml:space="preserve">Notify the Grant Recipient of the allegation and advise that TDA will </w:t>
      </w:r>
      <w:r w:rsidR="00886C1F" w:rsidRPr="006D3F1E">
        <w:rPr>
          <w:color w:val="000000" w:themeColor="text1"/>
        </w:rPr>
        <w:t>investigate</w:t>
      </w:r>
      <w:r w:rsidRPr="006D3F1E">
        <w:rPr>
          <w:color w:val="000000" w:themeColor="text1"/>
        </w:rPr>
        <w:t>; or</w:t>
      </w:r>
    </w:p>
    <w:p w14:paraId="77E6683D" w14:textId="358DAE28" w:rsidR="001F32F3" w:rsidRPr="006D3F1E" w:rsidRDefault="001F32F3" w:rsidP="00E54478">
      <w:pPr>
        <w:pStyle w:val="2Bulletedlist-Arial11"/>
        <w:numPr>
          <w:ilvl w:val="0"/>
          <w:numId w:val="68"/>
        </w:numPr>
        <w:spacing w:line="240" w:lineRule="auto"/>
        <w:rPr>
          <w:color w:val="000000" w:themeColor="text1"/>
        </w:rPr>
      </w:pPr>
      <w:r w:rsidRPr="006D3F1E">
        <w:rPr>
          <w:color w:val="000000" w:themeColor="text1"/>
        </w:rPr>
        <w:t>Advise the Grant Recipient that it must conduct a preliminary investigation and submit a written report within</w:t>
      </w:r>
      <w:r w:rsidR="00C25A29">
        <w:rPr>
          <w:color w:val="000000" w:themeColor="text1"/>
        </w:rPr>
        <w:t xml:space="preserve"> seven </w:t>
      </w:r>
      <w:r w:rsidRPr="006D3F1E">
        <w:rPr>
          <w:color w:val="000000" w:themeColor="text1"/>
        </w:rPr>
        <w:t>working days from the date of notification.</w:t>
      </w:r>
      <w:r w:rsidR="007A2A42" w:rsidRPr="006D3F1E">
        <w:rPr>
          <w:color w:val="000000" w:themeColor="text1"/>
        </w:rPr>
        <w:t xml:space="preserve"> </w:t>
      </w:r>
      <w:r w:rsidRPr="006D3F1E">
        <w:rPr>
          <w:color w:val="000000" w:themeColor="text1"/>
        </w:rPr>
        <w:t>The report must include</w:t>
      </w:r>
      <w:r w:rsidR="00E01611">
        <w:rPr>
          <w:color w:val="000000" w:themeColor="text1"/>
        </w:rPr>
        <w:t>:</w:t>
      </w:r>
    </w:p>
    <w:p w14:paraId="5D39D236" w14:textId="15E63E66" w:rsidR="001F32F3" w:rsidRPr="006D3F1E" w:rsidRDefault="00E01611" w:rsidP="00E54478">
      <w:pPr>
        <w:pStyle w:val="2Bulletedlist-Arial11"/>
        <w:numPr>
          <w:ilvl w:val="1"/>
          <w:numId w:val="69"/>
        </w:numPr>
        <w:spacing w:line="240" w:lineRule="auto"/>
        <w:ind w:left="1080"/>
        <w:rPr>
          <w:color w:val="000000" w:themeColor="text1"/>
        </w:rPr>
      </w:pPr>
      <w:r>
        <w:rPr>
          <w:color w:val="000000" w:themeColor="text1"/>
        </w:rPr>
        <w:t>T</w:t>
      </w:r>
      <w:r w:rsidR="002D325B" w:rsidRPr="006D3F1E">
        <w:rPr>
          <w:color w:val="000000" w:themeColor="text1"/>
        </w:rPr>
        <w:t>he n</w:t>
      </w:r>
      <w:r w:rsidR="001F32F3" w:rsidRPr="006D3F1E">
        <w:rPr>
          <w:color w:val="000000" w:themeColor="text1"/>
        </w:rPr>
        <w:t xml:space="preserve">ature of the allegation, dollar amount involved, whether a fidelity bond exists and its dollar </w:t>
      </w:r>
      <w:proofErr w:type="gramStart"/>
      <w:r w:rsidR="001F32F3" w:rsidRPr="006D3F1E">
        <w:rPr>
          <w:color w:val="000000" w:themeColor="text1"/>
        </w:rPr>
        <w:t>coverage;</w:t>
      </w:r>
      <w:proofErr w:type="gramEnd"/>
    </w:p>
    <w:p w14:paraId="0E424ABF" w14:textId="1882E577" w:rsidR="001F32F3" w:rsidRPr="006D3F1E" w:rsidRDefault="00E01611" w:rsidP="00E54478">
      <w:pPr>
        <w:pStyle w:val="2Bulletedlist-Arial11"/>
        <w:numPr>
          <w:ilvl w:val="1"/>
          <w:numId w:val="69"/>
        </w:numPr>
        <w:spacing w:line="240" w:lineRule="auto"/>
        <w:ind w:left="1080"/>
        <w:rPr>
          <w:color w:val="000000" w:themeColor="text1"/>
        </w:rPr>
      </w:pPr>
      <w:r>
        <w:rPr>
          <w:color w:val="000000" w:themeColor="text1"/>
        </w:rPr>
        <w:t>W</w:t>
      </w:r>
      <w:r w:rsidR="001F32F3" w:rsidRPr="006D3F1E">
        <w:rPr>
          <w:color w:val="000000" w:themeColor="text1"/>
        </w:rPr>
        <w:t>ho is involved</w:t>
      </w:r>
      <w:r w:rsidR="00D812D3" w:rsidRPr="006D3F1E">
        <w:rPr>
          <w:color w:val="000000" w:themeColor="text1"/>
        </w:rPr>
        <w:t xml:space="preserve">, </w:t>
      </w:r>
      <w:r w:rsidR="001F32F3" w:rsidRPr="006D3F1E">
        <w:rPr>
          <w:color w:val="000000" w:themeColor="text1"/>
        </w:rPr>
        <w:t>i.e., individual(s) accused of fraud</w:t>
      </w:r>
      <w:r w:rsidR="00DF3866" w:rsidRPr="006D3F1E">
        <w:rPr>
          <w:color w:val="000000" w:themeColor="text1"/>
        </w:rPr>
        <w:t>,</w:t>
      </w:r>
      <w:r w:rsidR="001F32F3" w:rsidRPr="006D3F1E">
        <w:rPr>
          <w:color w:val="000000" w:themeColor="text1"/>
        </w:rPr>
        <w:t xml:space="preserve"> Grant Recipient's name, names of the Grant Recipient's council/commission, and the Grant Recipient's chief elected </w:t>
      </w:r>
      <w:proofErr w:type="gramStart"/>
      <w:r w:rsidR="001F32F3" w:rsidRPr="006D3F1E">
        <w:rPr>
          <w:color w:val="000000" w:themeColor="text1"/>
        </w:rPr>
        <w:t>officer;</w:t>
      </w:r>
      <w:proofErr w:type="gramEnd"/>
    </w:p>
    <w:p w14:paraId="203A2ECC" w14:textId="70A9B6A2" w:rsidR="001F32F3" w:rsidRPr="006D3F1E" w:rsidRDefault="00E01611" w:rsidP="00E54478">
      <w:pPr>
        <w:pStyle w:val="2Bulletedlist-Arial11"/>
        <w:numPr>
          <w:ilvl w:val="1"/>
          <w:numId w:val="69"/>
        </w:numPr>
        <w:spacing w:line="240" w:lineRule="auto"/>
        <w:ind w:left="1080"/>
        <w:rPr>
          <w:color w:val="000000" w:themeColor="text1"/>
        </w:rPr>
      </w:pPr>
      <w:r>
        <w:rPr>
          <w:color w:val="000000" w:themeColor="text1"/>
        </w:rPr>
        <w:t>W</w:t>
      </w:r>
      <w:r w:rsidR="001F32F3" w:rsidRPr="006D3F1E">
        <w:rPr>
          <w:color w:val="000000" w:themeColor="text1"/>
        </w:rPr>
        <w:t xml:space="preserve">hen the allegations were </w:t>
      </w:r>
      <w:proofErr w:type="gramStart"/>
      <w:r w:rsidR="001F32F3" w:rsidRPr="006D3F1E">
        <w:rPr>
          <w:color w:val="000000" w:themeColor="text1"/>
        </w:rPr>
        <w:t>made;</w:t>
      </w:r>
      <w:proofErr w:type="gramEnd"/>
    </w:p>
    <w:p w14:paraId="7321FE6E" w14:textId="39D04BBB" w:rsidR="001F32F3" w:rsidRPr="006D3F1E" w:rsidRDefault="00E01611" w:rsidP="00E54478">
      <w:pPr>
        <w:pStyle w:val="2Bulletedlist-Arial11"/>
        <w:numPr>
          <w:ilvl w:val="1"/>
          <w:numId w:val="69"/>
        </w:numPr>
        <w:spacing w:line="240" w:lineRule="auto"/>
        <w:ind w:left="1080"/>
        <w:rPr>
          <w:color w:val="000000" w:themeColor="text1"/>
        </w:rPr>
      </w:pPr>
      <w:r>
        <w:rPr>
          <w:color w:val="000000" w:themeColor="text1"/>
        </w:rPr>
        <w:t>T</w:t>
      </w:r>
      <w:r w:rsidR="001F32F3" w:rsidRPr="006D3F1E">
        <w:rPr>
          <w:color w:val="000000" w:themeColor="text1"/>
        </w:rPr>
        <w:t xml:space="preserve">ime period </w:t>
      </w:r>
      <w:proofErr w:type="gramStart"/>
      <w:r w:rsidR="001F32F3" w:rsidRPr="006D3F1E">
        <w:rPr>
          <w:color w:val="000000" w:themeColor="text1"/>
        </w:rPr>
        <w:t>involved;</w:t>
      </w:r>
      <w:proofErr w:type="gramEnd"/>
    </w:p>
    <w:p w14:paraId="7A2AB63F" w14:textId="06F6078C" w:rsidR="001F32F3" w:rsidRPr="006D3F1E" w:rsidRDefault="00E01611" w:rsidP="00E54478">
      <w:pPr>
        <w:pStyle w:val="2Bulletedlist-Arial11"/>
        <w:numPr>
          <w:ilvl w:val="1"/>
          <w:numId w:val="69"/>
        </w:numPr>
        <w:spacing w:line="240" w:lineRule="auto"/>
        <w:ind w:left="1080"/>
        <w:rPr>
          <w:color w:val="000000" w:themeColor="text1"/>
        </w:rPr>
      </w:pPr>
      <w:r>
        <w:rPr>
          <w:color w:val="000000" w:themeColor="text1"/>
        </w:rPr>
        <w:t>W</w:t>
      </w:r>
      <w:r w:rsidR="001F32F3" w:rsidRPr="006D3F1E">
        <w:rPr>
          <w:color w:val="000000" w:themeColor="text1"/>
        </w:rPr>
        <w:t>here the incident occurred; and</w:t>
      </w:r>
    </w:p>
    <w:p w14:paraId="539E8B7E" w14:textId="278C4BB2" w:rsidR="001F32F3" w:rsidRPr="006D3F1E" w:rsidRDefault="00E01611" w:rsidP="00E54478">
      <w:pPr>
        <w:pStyle w:val="2Bulletedlist-Arial11"/>
        <w:numPr>
          <w:ilvl w:val="1"/>
          <w:numId w:val="69"/>
        </w:numPr>
        <w:spacing w:line="240" w:lineRule="auto"/>
        <w:ind w:left="1080"/>
        <w:rPr>
          <w:color w:val="000000" w:themeColor="text1"/>
        </w:rPr>
      </w:pPr>
      <w:r>
        <w:rPr>
          <w:color w:val="000000" w:themeColor="text1"/>
        </w:rPr>
        <w:t>H</w:t>
      </w:r>
      <w:r w:rsidR="001F32F3" w:rsidRPr="006D3F1E">
        <w:rPr>
          <w:color w:val="000000" w:themeColor="text1"/>
        </w:rPr>
        <w:t>ow the alleged incident occurred.</w:t>
      </w:r>
    </w:p>
    <w:p w14:paraId="045A3D50" w14:textId="77777777" w:rsidR="001F32F3" w:rsidRPr="006D3F1E" w:rsidRDefault="001F32F3" w:rsidP="000E219F"/>
    <w:p w14:paraId="14EEE60E" w14:textId="229FFDF4" w:rsidR="001F32F3" w:rsidRPr="006D3F1E" w:rsidRDefault="001F32F3" w:rsidP="000E219F">
      <w:pPr>
        <w:rPr>
          <w:b/>
        </w:rPr>
      </w:pPr>
      <w:r w:rsidRPr="006D3F1E">
        <w:t xml:space="preserve">The TxCDBG compliance staff will review the report and </w:t>
      </w:r>
      <w:r w:rsidR="00886C1F" w:rsidRPr="006D3F1E">
        <w:t xml:space="preserve">decide </w:t>
      </w:r>
      <w:r w:rsidRPr="006D3F1E">
        <w:t>whether further investigation is warranted.</w:t>
      </w:r>
    </w:p>
    <w:p w14:paraId="2BFC5F35" w14:textId="283C70CA" w:rsidR="001F32F3" w:rsidRPr="006D3F1E" w:rsidRDefault="001F32F3" w:rsidP="00E54478">
      <w:pPr>
        <w:pStyle w:val="2Bulletedlist-Arial11"/>
        <w:numPr>
          <w:ilvl w:val="0"/>
          <w:numId w:val="71"/>
        </w:numPr>
        <w:spacing w:line="240" w:lineRule="auto"/>
        <w:rPr>
          <w:color w:val="000000" w:themeColor="text1"/>
        </w:rPr>
      </w:pPr>
      <w:r w:rsidRPr="006D3F1E">
        <w:rPr>
          <w:color w:val="000000" w:themeColor="text1"/>
        </w:rPr>
        <w:t xml:space="preserve">If further investigation is not warranted, the file is </w:t>
      </w:r>
      <w:r w:rsidR="00886C1F" w:rsidRPr="006D3F1E">
        <w:rPr>
          <w:color w:val="000000" w:themeColor="text1"/>
        </w:rPr>
        <w:t>closed,</w:t>
      </w:r>
      <w:r w:rsidRPr="006D3F1E">
        <w:rPr>
          <w:color w:val="000000" w:themeColor="text1"/>
        </w:rPr>
        <w:t xml:space="preserve"> or the Grant Recipient is directed to conclude the issue administratively.</w:t>
      </w:r>
    </w:p>
    <w:p w14:paraId="0BDD4FF8" w14:textId="2AF38462" w:rsidR="001F32F3" w:rsidRPr="006D3F1E" w:rsidRDefault="001F32F3" w:rsidP="00E54478">
      <w:pPr>
        <w:pStyle w:val="2Bulletedlist-Arial11"/>
        <w:numPr>
          <w:ilvl w:val="0"/>
          <w:numId w:val="71"/>
        </w:numPr>
        <w:spacing w:line="240" w:lineRule="auto"/>
        <w:rPr>
          <w:color w:val="000000" w:themeColor="text1"/>
        </w:rPr>
      </w:pPr>
      <w:r w:rsidRPr="006D3F1E">
        <w:rPr>
          <w:color w:val="000000" w:themeColor="text1"/>
        </w:rPr>
        <w:t>If it is determined that further investigation is warranted, TDA will conduct a full investigation of the allegations and may recommend withholding payments to the Grant Recipient, pending completion of the investigation.</w:t>
      </w:r>
      <w:r w:rsidR="00DF3866" w:rsidRPr="006D3F1E">
        <w:rPr>
          <w:color w:val="000000" w:themeColor="text1"/>
        </w:rPr>
        <w:t xml:space="preserve"> </w:t>
      </w:r>
      <w:r w:rsidRPr="006D3F1E">
        <w:rPr>
          <w:color w:val="000000" w:themeColor="text1"/>
        </w:rPr>
        <w:t>The scope of the investigation will be determined by the facts surrounding the incident.</w:t>
      </w:r>
    </w:p>
    <w:p w14:paraId="44519D28" w14:textId="77777777" w:rsidR="001F32F3" w:rsidRPr="006D3F1E" w:rsidRDefault="001F32F3" w:rsidP="000E219F"/>
    <w:p w14:paraId="0A06ECFD" w14:textId="252093E8" w:rsidR="001F32F3" w:rsidRPr="006D3F1E" w:rsidRDefault="001F32F3" w:rsidP="000E219F">
      <w:pPr>
        <w:rPr>
          <w:b/>
        </w:rPr>
      </w:pPr>
      <w:r w:rsidRPr="006D3F1E">
        <w:t>Upon completion of the investigation</w:t>
      </w:r>
      <w:r w:rsidR="00DF3866" w:rsidRPr="006D3F1E">
        <w:t>, if applicable,</w:t>
      </w:r>
      <w:r w:rsidRPr="006D3F1E">
        <w:t xml:space="preserve"> TDA will:</w:t>
      </w:r>
    </w:p>
    <w:p w14:paraId="46BE5723" w14:textId="61075FC1" w:rsidR="001F32F3" w:rsidRPr="006D3F1E" w:rsidRDefault="001F32F3" w:rsidP="00E54478">
      <w:pPr>
        <w:pStyle w:val="2Bulletedlist-Arial11"/>
        <w:numPr>
          <w:ilvl w:val="0"/>
          <w:numId w:val="72"/>
        </w:numPr>
        <w:spacing w:line="240" w:lineRule="auto"/>
        <w:rPr>
          <w:color w:val="000000" w:themeColor="text1"/>
        </w:rPr>
      </w:pPr>
      <w:r w:rsidRPr="006D3F1E">
        <w:rPr>
          <w:color w:val="000000" w:themeColor="text1"/>
        </w:rPr>
        <w:t xml:space="preserve">Prepare an </w:t>
      </w:r>
      <w:r w:rsidR="00DF3866" w:rsidRPr="006D3F1E">
        <w:rPr>
          <w:color w:val="000000" w:themeColor="text1"/>
        </w:rPr>
        <w:t>i</w:t>
      </w:r>
      <w:r w:rsidRPr="006D3F1E">
        <w:rPr>
          <w:color w:val="000000" w:themeColor="text1"/>
        </w:rPr>
        <w:t xml:space="preserve">ncident </w:t>
      </w:r>
      <w:r w:rsidR="00DF3866" w:rsidRPr="006D3F1E">
        <w:rPr>
          <w:color w:val="000000" w:themeColor="text1"/>
        </w:rPr>
        <w:t>r</w:t>
      </w:r>
      <w:r w:rsidRPr="006D3F1E">
        <w:rPr>
          <w:color w:val="000000" w:themeColor="text1"/>
        </w:rPr>
        <w:t xml:space="preserve">eport that includes all findings and any initial corrective action taken to date by </w:t>
      </w:r>
      <w:proofErr w:type="gramStart"/>
      <w:r w:rsidRPr="006D3F1E">
        <w:rPr>
          <w:color w:val="000000" w:themeColor="text1"/>
        </w:rPr>
        <w:t>TDA;</w:t>
      </w:r>
      <w:proofErr w:type="gramEnd"/>
    </w:p>
    <w:p w14:paraId="0F21C085" w14:textId="56E18D9B" w:rsidR="001F32F3" w:rsidRPr="006D3F1E" w:rsidRDefault="001F32F3" w:rsidP="00E54478">
      <w:pPr>
        <w:pStyle w:val="2Bulletedlist-Arial11"/>
        <w:numPr>
          <w:ilvl w:val="0"/>
          <w:numId w:val="72"/>
        </w:numPr>
        <w:spacing w:line="240" w:lineRule="auto"/>
        <w:rPr>
          <w:color w:val="000000" w:themeColor="text1"/>
        </w:rPr>
      </w:pPr>
      <w:r w:rsidRPr="006D3F1E">
        <w:rPr>
          <w:color w:val="000000" w:themeColor="text1"/>
        </w:rPr>
        <w:t>Prepare a plan for corrective action, debt collection, and a plan for prosecution</w:t>
      </w:r>
      <w:r w:rsidR="009C1D3D" w:rsidRPr="006D3F1E">
        <w:rPr>
          <w:color w:val="000000" w:themeColor="text1"/>
        </w:rPr>
        <w:t xml:space="preserve">, if </w:t>
      </w:r>
      <w:proofErr w:type="gramStart"/>
      <w:r w:rsidR="009C1D3D" w:rsidRPr="006D3F1E">
        <w:rPr>
          <w:color w:val="000000" w:themeColor="text1"/>
        </w:rPr>
        <w:t>applicable</w:t>
      </w:r>
      <w:r w:rsidR="00DF3866" w:rsidRPr="006D3F1E">
        <w:rPr>
          <w:color w:val="000000" w:themeColor="text1"/>
        </w:rPr>
        <w:t>;</w:t>
      </w:r>
      <w:proofErr w:type="gramEnd"/>
    </w:p>
    <w:p w14:paraId="1CE369E3" w14:textId="301C38AF" w:rsidR="001F32F3" w:rsidRPr="006D3F1E" w:rsidRDefault="009D2190" w:rsidP="00E54478">
      <w:pPr>
        <w:pStyle w:val="2Bulletedlist-Arial11"/>
        <w:numPr>
          <w:ilvl w:val="0"/>
          <w:numId w:val="72"/>
        </w:numPr>
        <w:spacing w:line="240" w:lineRule="auto"/>
        <w:rPr>
          <w:color w:val="000000" w:themeColor="text1"/>
        </w:rPr>
      </w:pPr>
      <w:r w:rsidRPr="006D3F1E">
        <w:rPr>
          <w:color w:val="000000" w:themeColor="text1"/>
        </w:rPr>
        <w:t xml:space="preserve">Request </w:t>
      </w:r>
      <w:r w:rsidR="001F32F3" w:rsidRPr="006D3F1E">
        <w:rPr>
          <w:color w:val="000000" w:themeColor="text1"/>
        </w:rPr>
        <w:t>a claim against the fidelity bond to be filed</w:t>
      </w:r>
      <w:r w:rsidR="00E7186C" w:rsidRPr="006D3F1E">
        <w:rPr>
          <w:color w:val="000000" w:themeColor="text1"/>
        </w:rPr>
        <w:t xml:space="preserve">, if </w:t>
      </w:r>
      <w:proofErr w:type="gramStart"/>
      <w:r w:rsidR="00E7186C" w:rsidRPr="006D3F1E">
        <w:rPr>
          <w:color w:val="000000" w:themeColor="text1"/>
        </w:rPr>
        <w:t>applicable</w:t>
      </w:r>
      <w:r w:rsidR="00DF3866" w:rsidRPr="006D3F1E">
        <w:rPr>
          <w:color w:val="000000" w:themeColor="text1"/>
        </w:rPr>
        <w:t>;</w:t>
      </w:r>
      <w:proofErr w:type="gramEnd"/>
    </w:p>
    <w:p w14:paraId="5B61EC73" w14:textId="77777777" w:rsidR="001F32F3" w:rsidRPr="006D3F1E" w:rsidRDefault="001F32F3" w:rsidP="00E54478">
      <w:pPr>
        <w:pStyle w:val="2Bulletedlist-Arial11"/>
        <w:numPr>
          <w:ilvl w:val="0"/>
          <w:numId w:val="72"/>
        </w:numPr>
        <w:spacing w:line="240" w:lineRule="auto"/>
        <w:rPr>
          <w:color w:val="000000" w:themeColor="text1"/>
        </w:rPr>
      </w:pPr>
      <w:r w:rsidRPr="006D3F1E">
        <w:rPr>
          <w:color w:val="000000" w:themeColor="text1"/>
        </w:rPr>
        <w:t xml:space="preserve">Proceed with the resolution process on any costs which are questioned as a result of the </w:t>
      </w:r>
      <w:proofErr w:type="gramStart"/>
      <w:r w:rsidRPr="006D3F1E">
        <w:rPr>
          <w:color w:val="000000" w:themeColor="text1"/>
        </w:rPr>
        <w:t>investigation;</w:t>
      </w:r>
      <w:proofErr w:type="gramEnd"/>
    </w:p>
    <w:p w14:paraId="56B8E073" w14:textId="77777777" w:rsidR="001F32F3" w:rsidRPr="006D3F1E" w:rsidRDefault="001F32F3" w:rsidP="00E54478">
      <w:pPr>
        <w:pStyle w:val="2Bulletedlist-Arial11"/>
        <w:numPr>
          <w:ilvl w:val="0"/>
          <w:numId w:val="72"/>
        </w:numPr>
        <w:spacing w:line="240" w:lineRule="auto"/>
        <w:rPr>
          <w:color w:val="000000" w:themeColor="text1"/>
        </w:rPr>
      </w:pPr>
      <w:r w:rsidRPr="006D3F1E">
        <w:rPr>
          <w:color w:val="000000" w:themeColor="text1"/>
        </w:rPr>
        <w:t xml:space="preserve">Conduct a follow-up visit to </w:t>
      </w:r>
      <w:r w:rsidR="00FE49D4" w:rsidRPr="006D3F1E">
        <w:rPr>
          <w:color w:val="000000" w:themeColor="text1"/>
        </w:rPr>
        <w:t>e</w:t>
      </w:r>
      <w:r w:rsidRPr="006D3F1E">
        <w:rPr>
          <w:color w:val="000000" w:themeColor="text1"/>
        </w:rPr>
        <w:t>nsure that corrective action has been implemented; and</w:t>
      </w:r>
    </w:p>
    <w:p w14:paraId="0D879278" w14:textId="4D923B8F" w:rsidR="00B40502" w:rsidRDefault="001F32F3" w:rsidP="00E54478">
      <w:pPr>
        <w:pStyle w:val="2Bulletedlist-Arial11"/>
        <w:numPr>
          <w:ilvl w:val="0"/>
          <w:numId w:val="72"/>
        </w:numPr>
        <w:spacing w:line="240" w:lineRule="auto"/>
      </w:pPr>
      <w:r w:rsidRPr="006D3F1E">
        <w:rPr>
          <w:color w:val="000000" w:themeColor="text1"/>
        </w:rPr>
        <w:t xml:space="preserve">Initiate </w:t>
      </w:r>
      <w:r w:rsidRPr="00B42BFF">
        <w:t>debt collection procedures with the Grant Recipient</w:t>
      </w:r>
      <w:r w:rsidR="00E7186C">
        <w:t>, as applicable</w:t>
      </w:r>
      <w:r w:rsidRPr="00B42BFF">
        <w:t>.</w:t>
      </w:r>
      <w:bookmarkEnd w:id="112"/>
      <w:bookmarkEnd w:id="113"/>
      <w:bookmarkEnd w:id="114"/>
    </w:p>
    <w:p w14:paraId="649790CA" w14:textId="77777777" w:rsidR="003E5F87" w:rsidRDefault="003E5F87" w:rsidP="00A96148">
      <w:pPr>
        <w:pStyle w:val="2Bulletedlist-Arial11"/>
        <w:numPr>
          <w:ilvl w:val="0"/>
          <w:numId w:val="0"/>
        </w:numPr>
        <w:spacing w:line="240" w:lineRule="auto"/>
      </w:pPr>
    </w:p>
    <w:p w14:paraId="543ACBFB" w14:textId="77777777" w:rsidR="00A96148" w:rsidRDefault="00A96148" w:rsidP="002E66C3">
      <w:pPr>
        <w:pStyle w:val="Heading1"/>
      </w:pPr>
      <w:bookmarkStart w:id="121" w:name="_Toc116625058"/>
      <w:bookmarkStart w:id="122" w:name="_Toc123110538"/>
      <w:bookmarkStart w:id="123" w:name="_Toc123198167"/>
      <w:bookmarkStart w:id="124" w:name="_Toc123198402"/>
      <w:bookmarkStart w:id="125" w:name="_Toc171781498"/>
      <w:r>
        <w:t>Resources</w:t>
      </w:r>
      <w:bookmarkEnd w:id="121"/>
      <w:bookmarkEnd w:id="122"/>
      <w:bookmarkEnd w:id="123"/>
      <w:bookmarkEnd w:id="124"/>
      <w:bookmarkEnd w:id="125"/>
    </w:p>
    <w:p w14:paraId="6EB0338C" w14:textId="2A2E94A0" w:rsidR="00A96148" w:rsidRDefault="00A96148" w:rsidP="00424286"/>
    <w:tbl>
      <w:tblPr>
        <w:tblStyle w:val="TableGrid"/>
        <w:tblW w:w="0" w:type="auto"/>
        <w:tblLayout w:type="fixed"/>
        <w:tblLook w:val="04A0" w:firstRow="1" w:lastRow="0" w:firstColumn="1" w:lastColumn="0" w:noHBand="0" w:noVBand="1"/>
      </w:tblPr>
      <w:tblGrid>
        <w:gridCol w:w="1165"/>
        <w:gridCol w:w="5670"/>
        <w:gridCol w:w="2881"/>
      </w:tblGrid>
      <w:tr w:rsidR="00A96148" w:rsidRPr="00EA694F" w14:paraId="4B3A5A2E" w14:textId="77777777" w:rsidTr="00EA694F">
        <w:tc>
          <w:tcPr>
            <w:tcW w:w="1165" w:type="dxa"/>
          </w:tcPr>
          <w:p w14:paraId="78B67A1E" w14:textId="77777777" w:rsidR="00A96148" w:rsidRPr="00195C7A" w:rsidRDefault="00A96148" w:rsidP="002C2A7D">
            <w:pPr>
              <w:pStyle w:val="1BODY-Arial11"/>
            </w:pPr>
            <w:r w:rsidRPr="00195C7A">
              <w:t>Resource Number</w:t>
            </w:r>
          </w:p>
        </w:tc>
        <w:tc>
          <w:tcPr>
            <w:tcW w:w="5670" w:type="dxa"/>
          </w:tcPr>
          <w:p w14:paraId="0B77BF45" w14:textId="77777777" w:rsidR="00A96148" w:rsidRPr="00195C7A" w:rsidRDefault="00A96148" w:rsidP="002C2A7D">
            <w:pPr>
              <w:pStyle w:val="1BODY-Arial11"/>
            </w:pPr>
            <w:r w:rsidRPr="00195C7A">
              <w:t>Description</w:t>
            </w:r>
          </w:p>
        </w:tc>
        <w:tc>
          <w:tcPr>
            <w:tcW w:w="2881" w:type="dxa"/>
          </w:tcPr>
          <w:p w14:paraId="0BF182FA" w14:textId="77777777" w:rsidR="00A96148" w:rsidRPr="00195C7A" w:rsidRDefault="00A96148" w:rsidP="002C2A7D">
            <w:pPr>
              <w:pStyle w:val="1BODY-Arial11"/>
            </w:pPr>
            <w:r w:rsidRPr="00195C7A">
              <w:t>URL</w:t>
            </w:r>
          </w:p>
        </w:tc>
      </w:tr>
      <w:tr w:rsidR="00A96148" w:rsidRPr="00EA694F" w14:paraId="5A0931EE" w14:textId="77777777" w:rsidTr="00EA694F">
        <w:tc>
          <w:tcPr>
            <w:tcW w:w="1165" w:type="dxa"/>
          </w:tcPr>
          <w:p w14:paraId="18A27ABE" w14:textId="77777777" w:rsidR="00A96148" w:rsidRPr="00195C7A" w:rsidRDefault="00A96148" w:rsidP="002C2A7D">
            <w:pPr>
              <w:pStyle w:val="1BODY-Arial11"/>
            </w:pPr>
          </w:p>
        </w:tc>
        <w:tc>
          <w:tcPr>
            <w:tcW w:w="5670" w:type="dxa"/>
          </w:tcPr>
          <w:p w14:paraId="2C4B914F" w14:textId="77777777" w:rsidR="00A96148" w:rsidRPr="00195C7A" w:rsidRDefault="00A96148" w:rsidP="002C2A7D">
            <w:pPr>
              <w:pStyle w:val="1BODY-Arial11"/>
            </w:pPr>
            <w:r w:rsidRPr="00195C7A">
              <w:t>How to Submit a Payment Request</w:t>
            </w:r>
          </w:p>
        </w:tc>
        <w:tc>
          <w:tcPr>
            <w:tcW w:w="2881" w:type="dxa"/>
          </w:tcPr>
          <w:p w14:paraId="6A1245B5" w14:textId="77777777" w:rsidR="00A96148" w:rsidRPr="00195C7A" w:rsidRDefault="00000000" w:rsidP="002C2A7D">
            <w:pPr>
              <w:pStyle w:val="1BODY-Arial11"/>
              <w:rPr>
                <w:sz w:val="20"/>
                <w:szCs w:val="20"/>
              </w:rPr>
            </w:pPr>
            <w:hyperlink r:id="rId12" w:history="1">
              <w:r w:rsidR="00A96148" w:rsidRPr="00195C7A">
                <w:rPr>
                  <w:rStyle w:val="Hyperlink"/>
                  <w:sz w:val="20"/>
                  <w:szCs w:val="20"/>
                </w:rPr>
                <w:t>TDA Forms page</w:t>
              </w:r>
            </w:hyperlink>
          </w:p>
        </w:tc>
      </w:tr>
      <w:tr w:rsidR="00A96148" w:rsidRPr="00EA694F" w14:paraId="3BD2C984" w14:textId="77777777" w:rsidTr="00EA694F">
        <w:tc>
          <w:tcPr>
            <w:tcW w:w="1165" w:type="dxa"/>
          </w:tcPr>
          <w:p w14:paraId="2DCD56FF" w14:textId="77777777" w:rsidR="00A96148" w:rsidRPr="00195C7A" w:rsidRDefault="00A96148" w:rsidP="002C2A7D">
            <w:pPr>
              <w:pStyle w:val="1BODY-Arial11"/>
            </w:pPr>
          </w:p>
        </w:tc>
        <w:tc>
          <w:tcPr>
            <w:tcW w:w="5670" w:type="dxa"/>
          </w:tcPr>
          <w:p w14:paraId="398F3ED1" w14:textId="77777777" w:rsidR="00A96148" w:rsidRPr="00195C7A" w:rsidRDefault="00A96148" w:rsidP="002C2A7D">
            <w:pPr>
              <w:pStyle w:val="1BODY-Arial11"/>
            </w:pPr>
            <w:r w:rsidRPr="00195C7A">
              <w:t>How to Use a PR to Make a Balance Adjustment</w:t>
            </w:r>
          </w:p>
        </w:tc>
        <w:tc>
          <w:tcPr>
            <w:tcW w:w="2881" w:type="dxa"/>
          </w:tcPr>
          <w:p w14:paraId="4769AB05" w14:textId="77777777" w:rsidR="00A96148" w:rsidRPr="00195C7A" w:rsidRDefault="00000000" w:rsidP="002C2A7D">
            <w:pPr>
              <w:pStyle w:val="1BODY-Arial11"/>
              <w:rPr>
                <w:sz w:val="20"/>
                <w:szCs w:val="20"/>
              </w:rPr>
            </w:pPr>
            <w:hyperlink r:id="rId13" w:history="1">
              <w:r w:rsidR="00A96148" w:rsidRPr="00195C7A">
                <w:rPr>
                  <w:rStyle w:val="Hyperlink"/>
                  <w:sz w:val="20"/>
                  <w:szCs w:val="20"/>
                </w:rPr>
                <w:t>TDA Forms page</w:t>
              </w:r>
            </w:hyperlink>
          </w:p>
        </w:tc>
      </w:tr>
      <w:tr w:rsidR="00A96148" w:rsidRPr="00EA694F" w14:paraId="3C05F1E1" w14:textId="77777777" w:rsidTr="00EA694F">
        <w:tc>
          <w:tcPr>
            <w:tcW w:w="1165" w:type="dxa"/>
          </w:tcPr>
          <w:p w14:paraId="2089999B" w14:textId="77777777" w:rsidR="00A96148" w:rsidRPr="00195C7A" w:rsidRDefault="00A96148" w:rsidP="002C2A7D">
            <w:pPr>
              <w:pStyle w:val="1BODY-Arial11"/>
            </w:pPr>
            <w:r w:rsidRPr="00195C7A">
              <w:t>A207</w:t>
            </w:r>
          </w:p>
        </w:tc>
        <w:tc>
          <w:tcPr>
            <w:tcW w:w="5670" w:type="dxa"/>
          </w:tcPr>
          <w:p w14:paraId="59D6A22E" w14:textId="77777777" w:rsidR="00A96148" w:rsidRPr="00195C7A" w:rsidRDefault="00A96148" w:rsidP="002C2A7D">
            <w:pPr>
              <w:pStyle w:val="1BODY-Arial11"/>
            </w:pPr>
            <w:r w:rsidRPr="00195C7A">
              <w:t>Acceptable Back-up Documentation for Eligible Costs</w:t>
            </w:r>
          </w:p>
        </w:tc>
        <w:tc>
          <w:tcPr>
            <w:tcW w:w="2881" w:type="dxa"/>
          </w:tcPr>
          <w:p w14:paraId="1A189482" w14:textId="77777777" w:rsidR="00A96148" w:rsidRPr="00195C7A" w:rsidRDefault="00000000" w:rsidP="002C2A7D">
            <w:pPr>
              <w:pStyle w:val="1BODY-Arial11"/>
              <w:rPr>
                <w:sz w:val="20"/>
                <w:szCs w:val="20"/>
              </w:rPr>
            </w:pPr>
            <w:hyperlink r:id="rId14" w:history="1">
              <w:r w:rsidR="00A96148" w:rsidRPr="00195C7A">
                <w:rPr>
                  <w:rStyle w:val="Hyperlink"/>
                  <w:sz w:val="20"/>
                  <w:szCs w:val="20"/>
                </w:rPr>
                <w:t>TDA Forms page</w:t>
              </w:r>
            </w:hyperlink>
          </w:p>
        </w:tc>
      </w:tr>
      <w:tr w:rsidR="00A96148" w:rsidRPr="00EA694F" w14:paraId="4D6C9E97" w14:textId="77777777" w:rsidTr="00EA694F">
        <w:tc>
          <w:tcPr>
            <w:tcW w:w="1165" w:type="dxa"/>
          </w:tcPr>
          <w:p w14:paraId="4B1D167C" w14:textId="77777777" w:rsidR="00A96148" w:rsidRPr="00195C7A" w:rsidRDefault="00A96148" w:rsidP="002C2A7D">
            <w:pPr>
              <w:pStyle w:val="1BODY-Arial11"/>
            </w:pPr>
            <w:r w:rsidRPr="00195C7A">
              <w:t>A208</w:t>
            </w:r>
          </w:p>
        </w:tc>
        <w:tc>
          <w:tcPr>
            <w:tcW w:w="5670" w:type="dxa"/>
          </w:tcPr>
          <w:p w14:paraId="35F47368" w14:textId="77777777" w:rsidR="00A96148" w:rsidRPr="00195C7A" w:rsidRDefault="00A96148" w:rsidP="002C2A7D">
            <w:pPr>
              <w:pStyle w:val="1BODY-Arial11"/>
            </w:pPr>
            <w:r w:rsidRPr="00195C7A">
              <w:t>TxCDBG Match Calculator</w:t>
            </w:r>
          </w:p>
        </w:tc>
        <w:tc>
          <w:tcPr>
            <w:tcW w:w="2881" w:type="dxa"/>
          </w:tcPr>
          <w:p w14:paraId="7DFC26E2" w14:textId="77777777" w:rsidR="00A96148" w:rsidRPr="00195C7A" w:rsidRDefault="00000000" w:rsidP="002C2A7D">
            <w:pPr>
              <w:pStyle w:val="1BODY-Arial11"/>
              <w:rPr>
                <w:sz w:val="20"/>
                <w:szCs w:val="20"/>
              </w:rPr>
            </w:pPr>
            <w:hyperlink r:id="rId15" w:history="1">
              <w:r w:rsidR="00A96148" w:rsidRPr="00195C7A">
                <w:rPr>
                  <w:rStyle w:val="Hyperlink"/>
                  <w:sz w:val="20"/>
                  <w:szCs w:val="20"/>
                </w:rPr>
                <w:t>TDA Forms page</w:t>
              </w:r>
            </w:hyperlink>
          </w:p>
        </w:tc>
      </w:tr>
    </w:tbl>
    <w:p w14:paraId="51195766" w14:textId="430ACD1E" w:rsidR="00A96148" w:rsidRPr="00EA694F" w:rsidRDefault="00A96148" w:rsidP="00AC6DD2">
      <w:pPr>
        <w:rPr>
          <w:sz w:val="20"/>
          <w:szCs w:val="20"/>
        </w:rPr>
      </w:pPr>
      <w:r w:rsidRPr="00EA694F">
        <w:rPr>
          <w:sz w:val="20"/>
          <w:szCs w:val="20"/>
        </w:rPr>
        <w:t xml:space="preserve">*Note: these items will be </w:t>
      </w:r>
      <w:r w:rsidR="00424286" w:rsidRPr="00EA694F">
        <w:rPr>
          <w:sz w:val="20"/>
          <w:szCs w:val="20"/>
        </w:rPr>
        <w:t>updated</w:t>
      </w:r>
      <w:r w:rsidRPr="00EA694F">
        <w:rPr>
          <w:sz w:val="20"/>
          <w:szCs w:val="20"/>
        </w:rPr>
        <w:t xml:space="preserve"> as needed. </w:t>
      </w:r>
    </w:p>
    <w:sectPr w:rsidR="00A96148" w:rsidRPr="00EA694F" w:rsidSect="007A2A42">
      <w:headerReference w:type="even" r:id="rId16"/>
      <w:headerReference w:type="default" r:id="rId17"/>
      <w:footerReference w:type="default" r:id="rId18"/>
      <w:pgSz w:w="12240" w:h="15840" w:code="1"/>
      <w:pgMar w:top="1152" w:right="1152" w:bottom="990" w:left="1152" w:header="432" w:footer="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7164D34" w14:textId="77777777" w:rsidR="00516561" w:rsidRDefault="00516561">
      <w:r>
        <w:separator/>
      </w:r>
    </w:p>
    <w:p w14:paraId="6D9C9197" w14:textId="77777777" w:rsidR="00516561" w:rsidRDefault="00516561"/>
    <w:p w14:paraId="2A8A358F" w14:textId="77777777" w:rsidR="00516561" w:rsidRDefault="00516561"/>
  </w:endnote>
  <w:endnote w:type="continuationSeparator" w:id="0">
    <w:p w14:paraId="044CA769" w14:textId="77777777" w:rsidR="00516561" w:rsidRDefault="00516561">
      <w:r>
        <w:continuationSeparator/>
      </w:r>
    </w:p>
    <w:p w14:paraId="0BBF0798" w14:textId="77777777" w:rsidR="00516561" w:rsidRDefault="00516561"/>
    <w:p w14:paraId="3A92F848" w14:textId="77777777" w:rsidR="00516561" w:rsidRDefault="005165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746E51" w14:textId="77777777" w:rsidR="00786CF3" w:rsidRDefault="00786CF3" w:rsidP="004C5187">
    <w:pPr>
      <w:pBdr>
        <w:top w:val="dotted" w:sz="4" w:space="0" w:color="auto"/>
      </w:pBdr>
      <w:tabs>
        <w:tab w:val="left" w:pos="3960"/>
        <w:tab w:val="left" w:pos="7830"/>
        <w:tab w:val="left" w:pos="9630"/>
      </w:tabs>
      <w:rPr>
        <w:rFonts w:cs="Arial"/>
        <w:sz w:val="16"/>
      </w:rPr>
    </w:pPr>
  </w:p>
  <w:p w14:paraId="0EAB7862" w14:textId="77097750" w:rsidR="00786CF3" w:rsidRPr="00295283" w:rsidRDefault="00786CF3" w:rsidP="00295283">
    <w:pPr>
      <w:pBdr>
        <w:top w:val="dotted" w:sz="4" w:space="0" w:color="auto"/>
      </w:pBdr>
      <w:tabs>
        <w:tab w:val="left" w:pos="3960"/>
        <w:tab w:val="left" w:pos="7830"/>
        <w:tab w:val="left" w:pos="9630"/>
      </w:tabs>
      <w:rPr>
        <w:rFonts w:cs="Arial"/>
        <w:noProof/>
        <w:sz w:val="16"/>
      </w:rPr>
    </w:pPr>
    <w:r>
      <w:rPr>
        <w:rFonts w:cs="Arial"/>
        <w:sz w:val="16"/>
      </w:rPr>
      <w:t>202</w:t>
    </w:r>
    <w:r w:rsidR="00A87691">
      <w:rPr>
        <w:rFonts w:cs="Arial"/>
        <w:sz w:val="16"/>
      </w:rPr>
      <w:t>4</w:t>
    </w:r>
    <w:r>
      <w:rPr>
        <w:rFonts w:cs="Arial"/>
        <w:sz w:val="16"/>
      </w:rPr>
      <w:t xml:space="preserve"> </w:t>
    </w:r>
    <w:r w:rsidRPr="00EF34CB">
      <w:rPr>
        <w:rFonts w:cs="Arial"/>
        <w:sz w:val="16"/>
      </w:rPr>
      <w:t>TxCDBG Project Implementation Manual</w:t>
    </w:r>
    <w:r>
      <w:rPr>
        <w:rFonts w:cs="Arial"/>
        <w:sz w:val="16"/>
      </w:rPr>
      <w:t xml:space="preserve">  </w:t>
    </w:r>
    <w:r w:rsidR="00795F61">
      <w:rPr>
        <w:rFonts w:cs="Arial"/>
        <w:sz w:val="16"/>
      </w:rPr>
      <w:t xml:space="preserve">    </w:t>
    </w:r>
    <w:r>
      <w:rPr>
        <w:rFonts w:cs="Arial"/>
        <w:sz w:val="16"/>
      </w:rPr>
      <w:t>Section A–Chapter 2 Financial Management</w:t>
    </w:r>
    <w:r w:rsidR="00195C7A">
      <w:rPr>
        <w:rFonts w:cs="Arial"/>
        <w:sz w:val="16"/>
      </w:rPr>
      <w:tab/>
    </w:r>
    <w:r w:rsidR="00114794">
      <w:rPr>
        <w:rFonts w:cs="Arial"/>
        <w:color w:val="000000" w:themeColor="text1"/>
        <w:sz w:val="16"/>
        <w:szCs w:val="16"/>
      </w:rPr>
      <w:t>9</w:t>
    </w:r>
    <w:r w:rsidR="00225561">
      <w:rPr>
        <w:rFonts w:cs="Arial"/>
        <w:color w:val="000000" w:themeColor="text1"/>
        <w:sz w:val="16"/>
        <w:szCs w:val="16"/>
      </w:rPr>
      <w:t>.</w:t>
    </w:r>
    <w:r w:rsidR="00A0281E">
      <w:rPr>
        <w:rFonts w:cs="Arial"/>
        <w:color w:val="000000" w:themeColor="text1"/>
        <w:sz w:val="16"/>
        <w:szCs w:val="16"/>
      </w:rPr>
      <w:t>1</w:t>
    </w:r>
    <w:r w:rsidR="00795F61">
      <w:rPr>
        <w:rFonts w:cs="Arial"/>
        <w:color w:val="000000" w:themeColor="text1"/>
        <w:sz w:val="16"/>
        <w:szCs w:val="16"/>
      </w:rPr>
      <w:t>.202</w:t>
    </w:r>
    <w:r w:rsidR="003235FF">
      <w:rPr>
        <w:rFonts w:cs="Arial"/>
        <w:color w:val="000000" w:themeColor="text1"/>
        <w:sz w:val="16"/>
        <w:szCs w:val="16"/>
      </w:rPr>
      <w:t>4</w:t>
    </w:r>
    <w:r w:rsidR="00D04431">
      <w:rPr>
        <w:rFonts w:cs="Arial"/>
        <w:color w:val="548DD4" w:themeColor="text2" w:themeTint="99"/>
        <w:sz w:val="16"/>
        <w:szCs w:val="16"/>
      </w:rPr>
      <w:t xml:space="preserve">                  </w:t>
    </w:r>
    <w:r w:rsidRPr="009B23DE">
      <w:rPr>
        <w:rFonts w:cs="Arial"/>
        <w:sz w:val="16"/>
      </w:rPr>
      <w:fldChar w:fldCharType="begin"/>
    </w:r>
    <w:r w:rsidRPr="009B23DE">
      <w:rPr>
        <w:rFonts w:cs="Arial"/>
        <w:sz w:val="16"/>
      </w:rPr>
      <w:instrText xml:space="preserve"> PAGE   \* MERGEFORMAT </w:instrText>
    </w:r>
    <w:r w:rsidRPr="009B23DE">
      <w:rPr>
        <w:rFonts w:cs="Arial"/>
        <w:sz w:val="16"/>
      </w:rPr>
      <w:fldChar w:fldCharType="separate"/>
    </w:r>
    <w:r>
      <w:rPr>
        <w:rFonts w:cs="Arial"/>
        <w:noProof/>
        <w:sz w:val="16"/>
      </w:rPr>
      <w:t>14</w:t>
    </w:r>
    <w:r w:rsidRPr="009B23DE">
      <w:rPr>
        <w:rFonts w:cs="Arial"/>
        <w:noProof/>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26EEA0" w14:textId="77777777" w:rsidR="00516561" w:rsidRDefault="00516561" w:rsidP="001207F3">
      <w:r>
        <w:separator/>
      </w:r>
    </w:p>
  </w:footnote>
  <w:footnote w:type="continuationSeparator" w:id="0">
    <w:p w14:paraId="2FBC9B88" w14:textId="77777777" w:rsidR="00516561" w:rsidRDefault="00516561">
      <w:r>
        <w:continuationSeparator/>
      </w:r>
    </w:p>
    <w:p w14:paraId="71A76DE9" w14:textId="77777777" w:rsidR="00516561" w:rsidRDefault="00516561"/>
    <w:p w14:paraId="3F307978" w14:textId="77777777" w:rsidR="00516561" w:rsidRDefault="00516561"/>
  </w:footnote>
  <w:footnote w:id="1">
    <w:p w14:paraId="52B143EE" w14:textId="20FD8010" w:rsidR="00DD0896" w:rsidRPr="002401B7" w:rsidRDefault="00DD0896">
      <w:pPr>
        <w:pStyle w:val="FootnoteText"/>
        <w:rPr>
          <w:i w:val="0"/>
          <w:iCs w:val="0"/>
        </w:rPr>
      </w:pPr>
      <w:r w:rsidRPr="002401B7">
        <w:rPr>
          <w:rStyle w:val="FootnoteReference"/>
          <w:i w:val="0"/>
          <w:iCs w:val="0"/>
        </w:rPr>
        <w:footnoteRef/>
      </w:r>
      <w:bookmarkStart w:id="29" w:name="_Hlk121918116"/>
      <w:r w:rsidRPr="002401B7">
        <w:rPr>
          <w:i w:val="0"/>
          <w:iCs w:val="0"/>
        </w:rPr>
        <w:t>2 CFR §200.305(b)(9)</w:t>
      </w:r>
      <w:bookmarkEnd w:id="29"/>
    </w:p>
  </w:footnote>
  <w:footnote w:id="2">
    <w:p w14:paraId="3CB10A16" w14:textId="341BCA48" w:rsidR="00E32DDC" w:rsidRPr="002401B7" w:rsidRDefault="00E32DDC" w:rsidP="002401B7">
      <w:pPr>
        <w:pStyle w:val="FootnoteText"/>
        <w:spacing w:after="0"/>
        <w:rPr>
          <w:i w:val="0"/>
          <w:iCs w:val="0"/>
        </w:rPr>
      </w:pPr>
      <w:r w:rsidRPr="00493C66">
        <w:rPr>
          <w:rStyle w:val="FootnoteReference"/>
          <w:i w:val="0"/>
          <w:iCs w:val="0"/>
        </w:rPr>
        <w:footnoteRef/>
      </w:r>
      <w:r w:rsidRPr="00493C66">
        <w:rPr>
          <w:i w:val="0"/>
          <w:iCs w:val="0"/>
        </w:rPr>
        <w:t xml:space="preserve"> 4 TAC §30.</w:t>
      </w:r>
      <w:r w:rsidR="00722287" w:rsidRPr="00493C66">
        <w:rPr>
          <w:i w:val="0"/>
          <w:iCs w:val="0"/>
        </w:rPr>
        <w:t>10</w:t>
      </w:r>
    </w:p>
  </w:footnote>
  <w:footnote w:id="3">
    <w:p w14:paraId="4CC84D3D" w14:textId="79D89FC7" w:rsidR="00E32DDC" w:rsidRDefault="00E32DDC" w:rsidP="002401B7">
      <w:pPr>
        <w:pStyle w:val="FootnoteText"/>
        <w:spacing w:after="0"/>
      </w:pPr>
      <w:r w:rsidRPr="002401B7">
        <w:rPr>
          <w:rStyle w:val="FootnoteReference"/>
          <w:i w:val="0"/>
          <w:iCs w:val="0"/>
        </w:rPr>
        <w:footnoteRef/>
      </w:r>
      <w:r w:rsidRPr="002401B7">
        <w:rPr>
          <w:i w:val="0"/>
          <w:iCs w:val="0"/>
        </w:rPr>
        <w:t xml:space="preserve"> 2 CFR §200.407</w:t>
      </w:r>
    </w:p>
  </w:footnote>
  <w:footnote w:id="4">
    <w:p w14:paraId="491C16D7" w14:textId="49600043" w:rsidR="00E32DDC" w:rsidRPr="002401B7" w:rsidRDefault="00E32DDC">
      <w:pPr>
        <w:pStyle w:val="FootnoteText"/>
        <w:rPr>
          <w:i w:val="0"/>
          <w:iCs w:val="0"/>
        </w:rPr>
      </w:pPr>
      <w:r w:rsidRPr="002401B7">
        <w:rPr>
          <w:rStyle w:val="FootnoteReference"/>
          <w:i w:val="0"/>
          <w:iCs w:val="0"/>
        </w:rPr>
        <w:footnoteRef/>
      </w:r>
      <w:r w:rsidRPr="002401B7">
        <w:rPr>
          <w:i w:val="0"/>
          <w:iCs w:val="0"/>
        </w:rPr>
        <w:t xml:space="preserve"> 2 CFR §200.307 and 24 CFR §570.489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2B1546" w14:textId="66AF60CC" w:rsidR="003743B3" w:rsidRDefault="00000000">
    <w:pPr>
      <w:pStyle w:val="Header"/>
    </w:pPr>
    <w:r>
      <w:rPr>
        <w:noProof/>
      </w:rPr>
      <w:pict w14:anchorId="3A35FC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alt="" style="position:absolute;left:0;text-align:left;margin-left:0;margin-top:0;width:496.8pt;height:165.6pt;z-index:-251658752;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75104291"/>
      <w:docPartObj>
        <w:docPartGallery w:val="Watermarks"/>
        <w:docPartUnique/>
      </w:docPartObj>
    </w:sdtPr>
    <w:sdtContent>
      <w:p w14:paraId="2DDC0987" w14:textId="3DED8B06" w:rsidR="002E66C3" w:rsidRDefault="002E66C3">
        <w:pPr>
          <w:pStyle w:val="Header"/>
        </w:pPr>
        <w:r>
          <w:rPr>
            <w:noProof/>
          </w:rPr>
          <w:pict w14:anchorId="1D47502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7" type="#_x0000_t136" style="position:absolute;left:0;text-align:left;margin-left:0;margin-top:0;width:412.4pt;height:247.45pt;rotation:315;z-index:-2516567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BD12E5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A71095"/>
    <w:multiLevelType w:val="hybridMultilevel"/>
    <w:tmpl w:val="F38E2A8A"/>
    <w:lvl w:ilvl="0" w:tplc="71FADEF8">
      <w:start w:val="1"/>
      <w:numFmt w:val="decimal"/>
      <w:lvlText w:val="%1."/>
      <w:lvlJc w:val="left"/>
      <w:pPr>
        <w:ind w:left="720" w:hanging="360"/>
      </w:pPr>
      <w:rPr>
        <w:rFonts w:ascii="Arial" w:eastAsia="Calibri"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731801"/>
    <w:multiLevelType w:val="hybridMultilevel"/>
    <w:tmpl w:val="41DE4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870A33"/>
    <w:multiLevelType w:val="hybridMultilevel"/>
    <w:tmpl w:val="E9DADAC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256B93"/>
    <w:multiLevelType w:val="hybridMultilevel"/>
    <w:tmpl w:val="4C90B43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65461ED"/>
    <w:multiLevelType w:val="hybridMultilevel"/>
    <w:tmpl w:val="2CDEA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267C39"/>
    <w:multiLevelType w:val="hybridMultilevel"/>
    <w:tmpl w:val="D72A082A"/>
    <w:lvl w:ilvl="0" w:tplc="8C96E6C6">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D367B5A"/>
    <w:multiLevelType w:val="hybridMultilevel"/>
    <w:tmpl w:val="F120DA42"/>
    <w:lvl w:ilvl="0" w:tplc="CB1EC93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8E2188"/>
    <w:multiLevelType w:val="hybridMultilevel"/>
    <w:tmpl w:val="3970C656"/>
    <w:lvl w:ilvl="0" w:tplc="381E2712">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245236D"/>
    <w:multiLevelType w:val="hybridMultilevel"/>
    <w:tmpl w:val="CBC60012"/>
    <w:lvl w:ilvl="0" w:tplc="148CB964">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5134C2"/>
    <w:multiLevelType w:val="hybridMultilevel"/>
    <w:tmpl w:val="536CD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51099A"/>
    <w:multiLevelType w:val="hybridMultilevel"/>
    <w:tmpl w:val="17685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7780860"/>
    <w:multiLevelType w:val="hybridMultilevel"/>
    <w:tmpl w:val="1A186058"/>
    <w:lvl w:ilvl="0" w:tplc="FFFFFFFF">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189F528E"/>
    <w:multiLevelType w:val="hybridMultilevel"/>
    <w:tmpl w:val="A51A5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A90E2B"/>
    <w:multiLevelType w:val="hybridMultilevel"/>
    <w:tmpl w:val="4F4EB8A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CB003D"/>
    <w:multiLevelType w:val="hybridMultilevel"/>
    <w:tmpl w:val="821E391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5A5620"/>
    <w:multiLevelType w:val="hybridMultilevel"/>
    <w:tmpl w:val="8D36C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A937C3"/>
    <w:multiLevelType w:val="hybridMultilevel"/>
    <w:tmpl w:val="CA4EA99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226A74DE"/>
    <w:multiLevelType w:val="hybridMultilevel"/>
    <w:tmpl w:val="52E0D64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2C76AD7"/>
    <w:multiLevelType w:val="hybridMultilevel"/>
    <w:tmpl w:val="FC80652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42F5628"/>
    <w:multiLevelType w:val="hybridMultilevel"/>
    <w:tmpl w:val="291CA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4AC14B4"/>
    <w:multiLevelType w:val="hybridMultilevel"/>
    <w:tmpl w:val="FC46920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5D45CC6"/>
    <w:multiLevelType w:val="hybridMultilevel"/>
    <w:tmpl w:val="A6105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75F2F14"/>
    <w:multiLevelType w:val="hybridMultilevel"/>
    <w:tmpl w:val="B3F8CA6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78A22FD"/>
    <w:multiLevelType w:val="hybridMultilevel"/>
    <w:tmpl w:val="15604512"/>
    <w:lvl w:ilvl="0" w:tplc="381E2712">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285D2D2F"/>
    <w:multiLevelType w:val="hybridMultilevel"/>
    <w:tmpl w:val="398AEE12"/>
    <w:lvl w:ilvl="0" w:tplc="EB84B240">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8701746"/>
    <w:multiLevelType w:val="hybridMultilevel"/>
    <w:tmpl w:val="0F48B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ADF5718"/>
    <w:multiLevelType w:val="singleLevel"/>
    <w:tmpl w:val="34FAEAA2"/>
    <w:lvl w:ilvl="0">
      <w:start w:val="1"/>
      <w:numFmt w:val="bullet"/>
      <w:pStyle w:val="Style1"/>
      <w:lvlText w:val=""/>
      <w:lvlJc w:val="left"/>
      <w:pPr>
        <w:tabs>
          <w:tab w:val="num" w:pos="360"/>
        </w:tabs>
        <w:ind w:left="360" w:hanging="360"/>
      </w:pPr>
      <w:rPr>
        <w:rFonts w:ascii="Wingdings" w:hAnsi="Wingdings" w:hint="default"/>
        <w:sz w:val="16"/>
      </w:rPr>
    </w:lvl>
  </w:abstractNum>
  <w:abstractNum w:abstractNumId="28" w15:restartNumberingAfterBreak="0">
    <w:nsid w:val="2CBF5E65"/>
    <w:multiLevelType w:val="hybridMultilevel"/>
    <w:tmpl w:val="5E402B0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F1F6FC4"/>
    <w:multiLevelType w:val="hybridMultilevel"/>
    <w:tmpl w:val="73F2832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2FDA7959"/>
    <w:multiLevelType w:val="hybridMultilevel"/>
    <w:tmpl w:val="28A2306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308340AF"/>
    <w:multiLevelType w:val="hybridMultilevel"/>
    <w:tmpl w:val="5DF4ED5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125072A"/>
    <w:multiLevelType w:val="hybridMultilevel"/>
    <w:tmpl w:val="7D406D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2BE4ED2"/>
    <w:multiLevelType w:val="hybridMultilevel"/>
    <w:tmpl w:val="B8B8F8CA"/>
    <w:lvl w:ilvl="0" w:tplc="0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4" w15:restartNumberingAfterBreak="0">
    <w:nsid w:val="32EC5469"/>
    <w:multiLevelType w:val="hybridMultilevel"/>
    <w:tmpl w:val="0D06F8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36354005"/>
    <w:multiLevelType w:val="multilevel"/>
    <w:tmpl w:val="69F2BFDC"/>
    <w:lvl w:ilvl="0">
      <w:start w:val="1"/>
      <w:numFmt w:val="decimal"/>
      <w:lvlText w:val="Chapter %1:"/>
      <w:lvlJc w:val="left"/>
      <w:pPr>
        <w:tabs>
          <w:tab w:val="num" w:pos="2160"/>
        </w:tabs>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decimal"/>
      <w:pStyle w:val="Heading3"/>
      <w:lvlText w:val="%1.%2.%3."/>
      <w:lvlJc w:val="left"/>
      <w:pPr>
        <w:tabs>
          <w:tab w:val="num" w:pos="1080"/>
        </w:tabs>
        <w:ind w:left="648" w:hanging="648"/>
      </w:pPr>
      <w:rPr>
        <w:rFonts w:hint="default"/>
      </w:rPr>
    </w:lvl>
    <w:lvl w:ilvl="3">
      <w:start w:val="1"/>
      <w:numFmt w:val="decimal"/>
      <w:pStyle w:val="Heading4"/>
      <w:lvlText w:val="%1.%2.%3.%4."/>
      <w:lvlJc w:val="left"/>
      <w:pPr>
        <w:tabs>
          <w:tab w:val="num" w:pos="1440"/>
        </w:tabs>
        <w:ind w:left="1440" w:hanging="144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36970A51"/>
    <w:multiLevelType w:val="hybridMultilevel"/>
    <w:tmpl w:val="012A1A7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69E775E"/>
    <w:multiLevelType w:val="hybridMultilevel"/>
    <w:tmpl w:val="3EBAD6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3A354583"/>
    <w:multiLevelType w:val="hybridMultilevel"/>
    <w:tmpl w:val="149E4A46"/>
    <w:lvl w:ilvl="0" w:tplc="F37EC5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CE6772E"/>
    <w:multiLevelType w:val="hybridMultilevel"/>
    <w:tmpl w:val="DFF44E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3D16328B"/>
    <w:multiLevelType w:val="hybridMultilevel"/>
    <w:tmpl w:val="78B06F9A"/>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3D576BAC"/>
    <w:multiLevelType w:val="hybridMultilevel"/>
    <w:tmpl w:val="01B039B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3DF76F51"/>
    <w:multiLevelType w:val="hybridMultilevel"/>
    <w:tmpl w:val="755A8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E114302"/>
    <w:multiLevelType w:val="hybridMultilevel"/>
    <w:tmpl w:val="C29453A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0147C78"/>
    <w:multiLevelType w:val="hybridMultilevel"/>
    <w:tmpl w:val="A54026C6"/>
    <w:lvl w:ilvl="0" w:tplc="07E4FDCC">
      <w:start w:val="1"/>
      <w:numFmt w:val="decimal"/>
      <w:lvlText w:val="%1."/>
      <w:lvlJc w:val="left"/>
      <w:pPr>
        <w:ind w:left="9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2421631"/>
    <w:multiLevelType w:val="hybridMultilevel"/>
    <w:tmpl w:val="27A41BB0"/>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387450C"/>
    <w:multiLevelType w:val="hybridMultilevel"/>
    <w:tmpl w:val="64E08108"/>
    <w:lvl w:ilvl="0" w:tplc="853CC02A">
      <w:start w:val="1"/>
      <w:numFmt w:val="bullet"/>
      <w:lvlText w:val=""/>
      <w:lvlJc w:val="left"/>
      <w:pPr>
        <w:tabs>
          <w:tab w:val="num" w:pos="360"/>
        </w:tabs>
        <w:ind w:left="360" w:hanging="360"/>
      </w:pPr>
      <w:rPr>
        <w:rFonts w:ascii="Symbol" w:hAnsi="Symbol" w:hint="default"/>
        <w:b w:val="0"/>
        <w:i w:val="0"/>
        <w:sz w:val="16"/>
        <w:szCs w:val="16"/>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7" w15:restartNumberingAfterBreak="0">
    <w:nsid w:val="43A24D93"/>
    <w:multiLevelType w:val="hybridMultilevel"/>
    <w:tmpl w:val="7C60D1B0"/>
    <w:lvl w:ilvl="0" w:tplc="8090965A">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4886092"/>
    <w:multiLevelType w:val="hybridMultilevel"/>
    <w:tmpl w:val="F530DDF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4A702D0"/>
    <w:multiLevelType w:val="hybridMultilevel"/>
    <w:tmpl w:val="20386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51615DC"/>
    <w:multiLevelType w:val="hybridMultilevel"/>
    <w:tmpl w:val="9E4AF59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46B141BC"/>
    <w:multiLevelType w:val="hybridMultilevel"/>
    <w:tmpl w:val="24AACF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6CC47AB"/>
    <w:multiLevelType w:val="hybridMultilevel"/>
    <w:tmpl w:val="61F425F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7182F5B"/>
    <w:multiLevelType w:val="hybridMultilevel"/>
    <w:tmpl w:val="05F01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75B2058"/>
    <w:multiLevelType w:val="hybridMultilevel"/>
    <w:tmpl w:val="31BEBBC6"/>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86B779F"/>
    <w:multiLevelType w:val="hybridMultilevel"/>
    <w:tmpl w:val="E4F2C1CA"/>
    <w:lvl w:ilvl="0" w:tplc="853CC02A">
      <w:start w:val="1"/>
      <w:numFmt w:val="bullet"/>
      <w:lvlText w:val=""/>
      <w:lvlJc w:val="left"/>
      <w:pPr>
        <w:tabs>
          <w:tab w:val="num" w:pos="360"/>
        </w:tabs>
        <w:ind w:left="360" w:hanging="360"/>
      </w:pPr>
      <w:rPr>
        <w:rFonts w:ascii="Symbol" w:hAnsi="Symbol" w:hint="default"/>
        <w:b w:val="0"/>
        <w:i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48A92CF9"/>
    <w:multiLevelType w:val="hybridMultilevel"/>
    <w:tmpl w:val="FC109DA0"/>
    <w:lvl w:ilvl="0" w:tplc="8090965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96204A0"/>
    <w:multiLevelType w:val="hybridMultilevel"/>
    <w:tmpl w:val="C2086532"/>
    <w:lvl w:ilvl="0" w:tplc="C52A767A">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A85256A"/>
    <w:multiLevelType w:val="hybridMultilevel"/>
    <w:tmpl w:val="1FFA2EB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15:restartNumberingAfterBreak="0">
    <w:nsid w:val="4BEB393B"/>
    <w:multiLevelType w:val="hybridMultilevel"/>
    <w:tmpl w:val="AA1A4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BFD7147"/>
    <w:multiLevelType w:val="hybridMultilevel"/>
    <w:tmpl w:val="FF1EA5D2"/>
    <w:lvl w:ilvl="0" w:tplc="FFFFFFFF">
      <w:start w:val="1"/>
      <w:numFmt w:val="bullet"/>
      <w:pStyle w:val="Box1"/>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4CA942E7"/>
    <w:multiLevelType w:val="hybridMultilevel"/>
    <w:tmpl w:val="D7822A7A"/>
    <w:lvl w:ilvl="0" w:tplc="9A820D50">
      <w:start w:val="1"/>
      <w:numFmt w:val="decimal"/>
      <w:lvlText w:val="%1."/>
      <w:lvlJc w:val="left"/>
      <w:pPr>
        <w:ind w:left="720" w:hanging="360"/>
      </w:pPr>
      <w:rPr>
        <w:rFonts w:ascii="Arial" w:eastAsia="Calibri"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D0B6ED5"/>
    <w:multiLevelType w:val="hybridMultilevel"/>
    <w:tmpl w:val="769260EA"/>
    <w:lvl w:ilvl="0" w:tplc="74E04ED8">
      <w:start w:val="1"/>
      <w:numFmt w:val="decimal"/>
      <w:lvlText w:val="%1."/>
      <w:lvlJc w:val="left"/>
      <w:pPr>
        <w:ind w:left="720" w:hanging="360"/>
      </w:pPr>
      <w:rPr>
        <w:rFonts w:hint="default"/>
        <w:b w:val="0"/>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DBD091D"/>
    <w:multiLevelType w:val="hybridMultilevel"/>
    <w:tmpl w:val="9BBAD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0B730F4"/>
    <w:multiLevelType w:val="hybridMultilevel"/>
    <w:tmpl w:val="6D888636"/>
    <w:lvl w:ilvl="0" w:tplc="8090965A">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1695F61"/>
    <w:multiLevelType w:val="hybridMultilevel"/>
    <w:tmpl w:val="ACB4185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2901D69"/>
    <w:multiLevelType w:val="hybridMultilevel"/>
    <w:tmpl w:val="64686C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2C92EE4"/>
    <w:multiLevelType w:val="hybridMultilevel"/>
    <w:tmpl w:val="4E4A07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8" w15:restartNumberingAfterBreak="0">
    <w:nsid w:val="53CC0A75"/>
    <w:multiLevelType w:val="hybridMultilevel"/>
    <w:tmpl w:val="CD247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3FD6184"/>
    <w:multiLevelType w:val="hybridMultilevel"/>
    <w:tmpl w:val="10247976"/>
    <w:lvl w:ilvl="0" w:tplc="2CC4D4E0">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0" w15:restartNumberingAfterBreak="0">
    <w:nsid w:val="57F75F53"/>
    <w:multiLevelType w:val="hybridMultilevel"/>
    <w:tmpl w:val="6B4E1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C242920"/>
    <w:multiLevelType w:val="hybridMultilevel"/>
    <w:tmpl w:val="2D06ABA0"/>
    <w:lvl w:ilvl="0" w:tplc="853CC02A">
      <w:start w:val="1"/>
      <w:numFmt w:val="bullet"/>
      <w:lvlText w:val=""/>
      <w:lvlJc w:val="left"/>
      <w:pPr>
        <w:tabs>
          <w:tab w:val="num" w:pos="720"/>
        </w:tabs>
        <w:ind w:left="720" w:hanging="360"/>
      </w:pPr>
      <w:rPr>
        <w:rFonts w:ascii="Symbol" w:hAnsi="Symbol" w:hint="default"/>
        <w:b w:val="0"/>
        <w:i w:val="0"/>
        <w:sz w:val="16"/>
        <w:szCs w:val="16"/>
      </w:rPr>
    </w:lvl>
    <w:lvl w:ilvl="1" w:tplc="8C96E6C6">
      <w:start w:val="1"/>
      <w:numFmt w:val="bullet"/>
      <w:lvlText w:val=""/>
      <w:lvlJc w:val="left"/>
      <w:pPr>
        <w:tabs>
          <w:tab w:val="num" w:pos="1800"/>
        </w:tabs>
        <w:ind w:left="1800" w:hanging="360"/>
      </w:pPr>
      <w:rPr>
        <w:rFonts w:ascii="Symbol" w:hAnsi="Symbol" w:hint="default"/>
        <w:b w:val="0"/>
        <w:i w:val="0"/>
        <w:sz w:val="20"/>
        <w:szCs w:val="2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2" w15:restartNumberingAfterBreak="0">
    <w:nsid w:val="5FEA7189"/>
    <w:multiLevelType w:val="hybridMultilevel"/>
    <w:tmpl w:val="68C81810"/>
    <w:lvl w:ilvl="0" w:tplc="A114F464">
      <w:start w:val="55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3" w15:restartNumberingAfterBreak="0">
    <w:nsid w:val="60D102E3"/>
    <w:multiLevelType w:val="hybridMultilevel"/>
    <w:tmpl w:val="BD060C6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4" w15:restartNumberingAfterBreak="0">
    <w:nsid w:val="614F6AA7"/>
    <w:multiLevelType w:val="hybridMultilevel"/>
    <w:tmpl w:val="9FE0C2E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1EB48CE"/>
    <w:multiLevelType w:val="hybridMultilevel"/>
    <w:tmpl w:val="9432D2F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2E7768D"/>
    <w:multiLevelType w:val="hybridMultilevel"/>
    <w:tmpl w:val="1258FE5A"/>
    <w:lvl w:ilvl="0" w:tplc="FFFFFFFF">
      <w:start w:val="1"/>
      <w:numFmt w:val="bullet"/>
      <w:pStyle w:val="Box2"/>
      <w:lvlText w:val="-"/>
      <w:lvlJc w:val="left"/>
      <w:pPr>
        <w:tabs>
          <w:tab w:val="num" w:pos="1080"/>
        </w:tabs>
        <w:ind w:left="1080" w:hanging="360"/>
      </w:pPr>
      <w:rPr>
        <w:rFonts w:hAnsi="Arial" w:hint="default"/>
        <w:color w:val="00000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669363A6"/>
    <w:multiLevelType w:val="hybridMultilevel"/>
    <w:tmpl w:val="BBFC5502"/>
    <w:lvl w:ilvl="0" w:tplc="D7A80950">
      <w:start w:val="16"/>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8" w15:restartNumberingAfterBreak="0">
    <w:nsid w:val="6AA638B0"/>
    <w:multiLevelType w:val="hybridMultilevel"/>
    <w:tmpl w:val="EF449F2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ind w:left="180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6B0A3874"/>
    <w:multiLevelType w:val="hybridMultilevel"/>
    <w:tmpl w:val="02688EA6"/>
    <w:lvl w:ilvl="0" w:tplc="853CC02A">
      <w:start w:val="1"/>
      <w:numFmt w:val="bullet"/>
      <w:lvlText w:val=""/>
      <w:lvlJc w:val="left"/>
      <w:pPr>
        <w:tabs>
          <w:tab w:val="num" w:pos="720"/>
        </w:tabs>
        <w:ind w:left="720" w:hanging="360"/>
      </w:pPr>
      <w:rPr>
        <w:rFonts w:ascii="Symbol" w:hAnsi="Symbol" w:hint="default"/>
        <w:b w:val="0"/>
        <w:i w:val="0"/>
        <w:sz w:val="16"/>
        <w:szCs w:val="16"/>
      </w:rPr>
    </w:lvl>
    <w:lvl w:ilvl="1" w:tplc="8C96E6C6">
      <w:start w:val="1"/>
      <w:numFmt w:val="bullet"/>
      <w:lvlText w:val=""/>
      <w:lvlJc w:val="left"/>
      <w:pPr>
        <w:tabs>
          <w:tab w:val="num" w:pos="1800"/>
        </w:tabs>
        <w:ind w:left="1800" w:hanging="360"/>
      </w:pPr>
      <w:rPr>
        <w:rFonts w:ascii="Symbol" w:hAnsi="Symbol" w:hint="default"/>
        <w:b w:val="0"/>
        <w:i w:val="0"/>
        <w:sz w:val="20"/>
        <w:szCs w:val="2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0" w15:restartNumberingAfterBreak="0">
    <w:nsid w:val="6C1A663A"/>
    <w:multiLevelType w:val="hybridMultilevel"/>
    <w:tmpl w:val="32E027A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E4E662B"/>
    <w:multiLevelType w:val="hybridMultilevel"/>
    <w:tmpl w:val="B3845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718F3D3B"/>
    <w:multiLevelType w:val="hybridMultilevel"/>
    <w:tmpl w:val="6ECC0F9A"/>
    <w:lvl w:ilvl="0" w:tplc="FFFFFFFF">
      <w:start w:val="1"/>
      <w:numFmt w:val="bullet"/>
      <w:pStyle w:val="Box"/>
      <w:lvlText w:val=""/>
      <w:lvlJc w:val="left"/>
      <w:pPr>
        <w:tabs>
          <w:tab w:val="num" w:pos="360"/>
        </w:tabs>
        <w:ind w:left="360" w:hanging="360"/>
      </w:pPr>
      <w:rPr>
        <w:rFonts w:ascii="Wingdings" w:hAnsi="Wingdings" w:hint="default"/>
        <w:b/>
        <w:i w:val="0"/>
        <w:sz w:val="24"/>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73AD0E96"/>
    <w:multiLevelType w:val="hybridMultilevel"/>
    <w:tmpl w:val="53545850"/>
    <w:lvl w:ilvl="0" w:tplc="81DC4914">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15:restartNumberingAfterBreak="0">
    <w:nsid w:val="73EA23A2"/>
    <w:multiLevelType w:val="hybridMultilevel"/>
    <w:tmpl w:val="4D7A935A"/>
    <w:lvl w:ilvl="0" w:tplc="8090965A">
      <w:start w:val="1"/>
      <w:numFmt w:val="bullet"/>
      <w:lvlText w:val=""/>
      <w:lvlJc w:val="left"/>
      <w:pPr>
        <w:ind w:left="720" w:hanging="360"/>
      </w:pPr>
      <w:rPr>
        <w:rFonts w:ascii="Symbol" w:hAnsi="Symbol" w:hint="default"/>
      </w:rPr>
    </w:lvl>
    <w:lvl w:ilvl="1" w:tplc="0409000F">
      <w:start w:val="1"/>
      <w:numFmt w:val="decimal"/>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4B10852"/>
    <w:multiLevelType w:val="hybridMultilevel"/>
    <w:tmpl w:val="AD9472B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5290419"/>
    <w:multiLevelType w:val="multilevel"/>
    <w:tmpl w:val="A62EC3FC"/>
    <w:lvl w:ilvl="0">
      <w:start w:val="1"/>
      <w:numFmt w:val="bullet"/>
      <w:lvlText w:val="o"/>
      <w:lvlJc w:val="left"/>
      <w:pPr>
        <w:ind w:left="1080" w:hanging="360"/>
      </w:pPr>
      <w:rPr>
        <w:rFonts w:ascii="Courier New" w:hAnsi="Courier New" w:cs="Courier New" w:hint="default"/>
      </w:rPr>
    </w:lvl>
    <w:lvl w:ilvl="1">
      <w:start w:val="1"/>
      <w:numFmt w:val="decimal"/>
      <w:isLgl/>
      <w:lvlText w:val="%1.%2"/>
      <w:lvlJc w:val="left"/>
      <w:pPr>
        <w:ind w:left="1440" w:hanging="720"/>
      </w:pPr>
      <w:rPr>
        <w:rFonts w:hint="default"/>
      </w:rPr>
    </w:lvl>
    <w:lvl w:ilvl="2">
      <w:start w:val="5"/>
      <w:numFmt w:val="decimal"/>
      <w:isLgl/>
      <w:lvlText w:val="%1.%2.%3"/>
      <w:lvlJc w:val="left"/>
      <w:pPr>
        <w:ind w:left="1440" w:hanging="720"/>
      </w:pPr>
      <w:rPr>
        <w:rFonts w:hint="default"/>
        <w:u w:val="single"/>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87" w15:restartNumberingAfterBreak="0">
    <w:nsid w:val="7AD92E75"/>
    <w:multiLevelType w:val="hybridMultilevel"/>
    <w:tmpl w:val="1B108B70"/>
    <w:lvl w:ilvl="0" w:tplc="8090965A">
      <w:start w:val="1"/>
      <w:numFmt w:val="bullet"/>
      <w:pStyle w:val="2Bulletedlist-Arial1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7DBD1A52"/>
    <w:multiLevelType w:val="hybridMultilevel"/>
    <w:tmpl w:val="CC927784"/>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DBE2509"/>
    <w:multiLevelType w:val="hybridMultilevel"/>
    <w:tmpl w:val="D8D86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7E9978D2"/>
    <w:multiLevelType w:val="hybridMultilevel"/>
    <w:tmpl w:val="E33ABA6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94043263">
    <w:abstractNumId w:val="82"/>
  </w:num>
  <w:num w:numId="2" w16cid:durableId="1790660471">
    <w:abstractNumId w:val="35"/>
  </w:num>
  <w:num w:numId="3" w16cid:durableId="1049917885">
    <w:abstractNumId w:val="76"/>
  </w:num>
  <w:num w:numId="4" w16cid:durableId="621422995">
    <w:abstractNumId w:val="60"/>
  </w:num>
  <w:num w:numId="5" w16cid:durableId="1790126802">
    <w:abstractNumId w:val="71"/>
  </w:num>
  <w:num w:numId="6" w16cid:durableId="278948638">
    <w:abstractNumId w:val="55"/>
  </w:num>
  <w:num w:numId="7" w16cid:durableId="735662444">
    <w:abstractNumId w:val="12"/>
  </w:num>
  <w:num w:numId="8" w16cid:durableId="1235580967">
    <w:abstractNumId w:val="6"/>
  </w:num>
  <w:num w:numId="9" w16cid:durableId="193738074">
    <w:abstractNumId w:val="79"/>
  </w:num>
  <w:num w:numId="10" w16cid:durableId="1055080327">
    <w:abstractNumId w:val="46"/>
  </w:num>
  <w:num w:numId="11" w16cid:durableId="2142653796">
    <w:abstractNumId w:val="39"/>
  </w:num>
  <w:num w:numId="12" w16cid:durableId="1955942595">
    <w:abstractNumId w:val="32"/>
  </w:num>
  <w:num w:numId="13" w16cid:durableId="774255941">
    <w:abstractNumId w:val="27"/>
  </w:num>
  <w:num w:numId="14" w16cid:durableId="1276331615">
    <w:abstractNumId w:val="36"/>
  </w:num>
  <w:num w:numId="15" w16cid:durableId="1200630627">
    <w:abstractNumId w:val="41"/>
  </w:num>
  <w:num w:numId="16" w16cid:durableId="32196366">
    <w:abstractNumId w:val="81"/>
  </w:num>
  <w:num w:numId="17" w16cid:durableId="980816228">
    <w:abstractNumId w:val="0"/>
  </w:num>
  <w:num w:numId="18" w16cid:durableId="877350717">
    <w:abstractNumId w:val="37"/>
  </w:num>
  <w:num w:numId="19" w16cid:durableId="673412018">
    <w:abstractNumId w:val="28"/>
  </w:num>
  <w:num w:numId="20" w16cid:durableId="526020883">
    <w:abstractNumId w:val="61"/>
  </w:num>
  <w:num w:numId="21" w16cid:durableId="1513178276">
    <w:abstractNumId w:val="1"/>
  </w:num>
  <w:num w:numId="22" w16cid:durableId="999311253">
    <w:abstractNumId w:val="25"/>
  </w:num>
  <w:num w:numId="23" w16cid:durableId="1435057643">
    <w:abstractNumId w:val="89"/>
  </w:num>
  <w:num w:numId="24" w16cid:durableId="327055166">
    <w:abstractNumId w:val="10"/>
  </w:num>
  <w:num w:numId="25" w16cid:durableId="701442496">
    <w:abstractNumId w:val="16"/>
  </w:num>
  <w:num w:numId="26" w16cid:durableId="139076792">
    <w:abstractNumId w:val="22"/>
  </w:num>
  <w:num w:numId="27" w16cid:durableId="758257018">
    <w:abstractNumId w:val="87"/>
  </w:num>
  <w:num w:numId="28" w16cid:durableId="1106271791">
    <w:abstractNumId w:val="72"/>
  </w:num>
  <w:num w:numId="29" w16cid:durableId="688603101">
    <w:abstractNumId w:val="77"/>
  </w:num>
  <w:num w:numId="30" w16cid:durableId="392392945">
    <w:abstractNumId w:val="7"/>
  </w:num>
  <w:num w:numId="31" w16cid:durableId="1941987251">
    <w:abstractNumId w:val="62"/>
  </w:num>
  <w:num w:numId="32" w16cid:durableId="457917651">
    <w:abstractNumId w:val="59"/>
  </w:num>
  <w:num w:numId="33" w16cid:durableId="762384903">
    <w:abstractNumId w:val="5"/>
  </w:num>
  <w:num w:numId="34" w16cid:durableId="1345933573">
    <w:abstractNumId w:val="23"/>
  </w:num>
  <w:num w:numId="35" w16cid:durableId="715929855">
    <w:abstractNumId w:val="58"/>
  </w:num>
  <w:num w:numId="36" w16cid:durableId="360400888">
    <w:abstractNumId w:val="86"/>
  </w:num>
  <w:num w:numId="37" w16cid:durableId="758914916">
    <w:abstractNumId w:val="14"/>
  </w:num>
  <w:num w:numId="38" w16cid:durableId="1793861147">
    <w:abstractNumId w:val="17"/>
  </w:num>
  <w:num w:numId="39" w16cid:durableId="1622372632">
    <w:abstractNumId w:val="78"/>
  </w:num>
  <w:num w:numId="40" w16cid:durableId="650712392">
    <w:abstractNumId w:val="48"/>
  </w:num>
  <w:num w:numId="41" w16cid:durableId="1827747453">
    <w:abstractNumId w:val="80"/>
  </w:num>
  <w:num w:numId="42" w16cid:durableId="1131632782">
    <w:abstractNumId w:val="15"/>
  </w:num>
  <w:num w:numId="43" w16cid:durableId="386685938">
    <w:abstractNumId w:val="38"/>
  </w:num>
  <w:num w:numId="44" w16cid:durableId="407000511">
    <w:abstractNumId w:val="84"/>
  </w:num>
  <w:num w:numId="45" w16cid:durableId="12923377">
    <w:abstractNumId w:val="18"/>
  </w:num>
  <w:num w:numId="46" w16cid:durableId="1941336336">
    <w:abstractNumId w:val="73"/>
  </w:num>
  <w:num w:numId="47" w16cid:durableId="552696255">
    <w:abstractNumId w:val="4"/>
  </w:num>
  <w:num w:numId="48" w16cid:durableId="1682733428">
    <w:abstractNumId w:val="21"/>
  </w:num>
  <w:num w:numId="49" w16cid:durableId="1984233914">
    <w:abstractNumId w:val="56"/>
  </w:num>
  <w:num w:numId="50" w16cid:durableId="1619213879">
    <w:abstractNumId w:val="47"/>
  </w:num>
  <w:num w:numId="51" w16cid:durableId="1978341121">
    <w:abstractNumId w:val="57"/>
  </w:num>
  <w:num w:numId="52" w16cid:durableId="41028138">
    <w:abstractNumId w:val="30"/>
  </w:num>
  <w:num w:numId="53" w16cid:durableId="724644019">
    <w:abstractNumId w:val="87"/>
  </w:num>
  <w:num w:numId="54" w16cid:durableId="1490559243">
    <w:abstractNumId w:val="66"/>
  </w:num>
  <w:num w:numId="55" w16cid:durableId="1731540670">
    <w:abstractNumId w:val="31"/>
  </w:num>
  <w:num w:numId="56" w16cid:durableId="1183083696">
    <w:abstractNumId w:val="34"/>
  </w:num>
  <w:num w:numId="57" w16cid:durableId="1635137871">
    <w:abstractNumId w:val="29"/>
  </w:num>
  <w:num w:numId="58" w16cid:durableId="973410020">
    <w:abstractNumId w:val="42"/>
  </w:num>
  <w:num w:numId="59" w16cid:durableId="1699042298">
    <w:abstractNumId w:val="3"/>
  </w:num>
  <w:num w:numId="60" w16cid:durableId="2040617795">
    <w:abstractNumId w:val="52"/>
  </w:num>
  <w:num w:numId="61" w16cid:durableId="1002507255">
    <w:abstractNumId w:val="74"/>
  </w:num>
  <w:num w:numId="62" w16cid:durableId="104883589">
    <w:abstractNumId w:val="83"/>
  </w:num>
  <w:num w:numId="63" w16cid:durableId="1326857747">
    <w:abstractNumId w:val="85"/>
  </w:num>
  <w:num w:numId="64" w16cid:durableId="1439643851">
    <w:abstractNumId w:val="51"/>
  </w:num>
  <w:num w:numId="65" w16cid:durableId="79570186">
    <w:abstractNumId w:val="88"/>
  </w:num>
  <w:num w:numId="66" w16cid:durableId="1464956811">
    <w:abstractNumId w:val="50"/>
  </w:num>
  <w:num w:numId="67" w16cid:durableId="348141856">
    <w:abstractNumId w:val="43"/>
  </w:num>
  <w:num w:numId="68" w16cid:durableId="210388933">
    <w:abstractNumId w:val="75"/>
  </w:num>
  <w:num w:numId="69" w16cid:durableId="1160123961">
    <w:abstractNumId w:val="54"/>
  </w:num>
  <w:num w:numId="70" w16cid:durableId="953025517">
    <w:abstractNumId w:val="45"/>
  </w:num>
  <w:num w:numId="71" w16cid:durableId="1236821736">
    <w:abstractNumId w:val="65"/>
  </w:num>
  <w:num w:numId="72" w16cid:durableId="1237326065">
    <w:abstractNumId w:val="90"/>
  </w:num>
  <w:num w:numId="73" w16cid:durableId="512964354">
    <w:abstractNumId w:val="44"/>
  </w:num>
  <w:num w:numId="74" w16cid:durableId="2029285980">
    <w:abstractNumId w:val="26"/>
  </w:num>
  <w:num w:numId="75" w16cid:durableId="896892152">
    <w:abstractNumId w:val="11"/>
  </w:num>
  <w:num w:numId="76" w16cid:durableId="319503546">
    <w:abstractNumId w:val="9"/>
  </w:num>
  <w:num w:numId="77" w16cid:durableId="36785397">
    <w:abstractNumId w:val="19"/>
  </w:num>
  <w:num w:numId="78" w16cid:durableId="609779368">
    <w:abstractNumId w:val="8"/>
  </w:num>
  <w:num w:numId="79" w16cid:durableId="1664702935">
    <w:abstractNumId w:val="24"/>
  </w:num>
  <w:num w:numId="80" w16cid:durableId="24703575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638926516">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124414515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514997439">
    <w:abstractNumId w:val="67"/>
  </w:num>
  <w:num w:numId="84" w16cid:durableId="1530753885">
    <w:abstractNumId w:val="69"/>
  </w:num>
  <w:num w:numId="85" w16cid:durableId="911768752">
    <w:abstractNumId w:val="64"/>
  </w:num>
  <w:num w:numId="86" w16cid:durableId="170067736">
    <w:abstractNumId w:val="33"/>
  </w:num>
  <w:num w:numId="87" w16cid:durableId="1051005627">
    <w:abstractNumId w:val="40"/>
  </w:num>
  <w:num w:numId="88" w16cid:durableId="1279529869">
    <w:abstractNumId w:val="53"/>
  </w:num>
  <w:num w:numId="89" w16cid:durableId="22755663">
    <w:abstractNumId w:val="70"/>
  </w:num>
  <w:num w:numId="90" w16cid:durableId="8796103">
    <w:abstractNumId w:val="13"/>
  </w:num>
  <w:num w:numId="91" w16cid:durableId="1061170553">
    <w:abstractNumId w:val="20"/>
  </w:num>
  <w:num w:numId="92" w16cid:durableId="75829954">
    <w:abstractNumId w:val="68"/>
  </w:num>
  <w:num w:numId="93" w16cid:durableId="1361080600">
    <w:abstractNumId w:val="2"/>
  </w:num>
  <w:num w:numId="94" w16cid:durableId="258178234">
    <w:abstractNumId w:val="49"/>
  </w:num>
  <w:num w:numId="95" w16cid:durableId="418447951">
    <w:abstractNumId w:val="63"/>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ocumentProtection w:edit="trackedChanges" w:enforcement="0"/>
  <w:defaultTabStop w:val="720"/>
  <w:noPunctuationKerning/>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5E6"/>
    <w:rsid w:val="0000041C"/>
    <w:rsid w:val="00001528"/>
    <w:rsid w:val="0000180C"/>
    <w:rsid w:val="00003461"/>
    <w:rsid w:val="00004022"/>
    <w:rsid w:val="00004DBE"/>
    <w:rsid w:val="000051EB"/>
    <w:rsid w:val="0000548C"/>
    <w:rsid w:val="00006F27"/>
    <w:rsid w:val="00007E88"/>
    <w:rsid w:val="000129C4"/>
    <w:rsid w:val="00013900"/>
    <w:rsid w:val="00013F12"/>
    <w:rsid w:val="00016680"/>
    <w:rsid w:val="00016779"/>
    <w:rsid w:val="000172EB"/>
    <w:rsid w:val="000217EF"/>
    <w:rsid w:val="00021B02"/>
    <w:rsid w:val="00022158"/>
    <w:rsid w:val="00022469"/>
    <w:rsid w:val="00022510"/>
    <w:rsid w:val="00030A32"/>
    <w:rsid w:val="00030D3F"/>
    <w:rsid w:val="00030DF6"/>
    <w:rsid w:val="00032970"/>
    <w:rsid w:val="0003486E"/>
    <w:rsid w:val="00034AA8"/>
    <w:rsid w:val="0003519E"/>
    <w:rsid w:val="00036011"/>
    <w:rsid w:val="00036FB6"/>
    <w:rsid w:val="00037AC7"/>
    <w:rsid w:val="0004011C"/>
    <w:rsid w:val="00040BBB"/>
    <w:rsid w:val="00041450"/>
    <w:rsid w:val="00041FE4"/>
    <w:rsid w:val="00042D45"/>
    <w:rsid w:val="000454F5"/>
    <w:rsid w:val="00046AB1"/>
    <w:rsid w:val="00047166"/>
    <w:rsid w:val="00047397"/>
    <w:rsid w:val="00047F8D"/>
    <w:rsid w:val="0005002C"/>
    <w:rsid w:val="0005085E"/>
    <w:rsid w:val="0005087B"/>
    <w:rsid w:val="00050892"/>
    <w:rsid w:val="00051D3C"/>
    <w:rsid w:val="000532FD"/>
    <w:rsid w:val="00053C52"/>
    <w:rsid w:val="00054E4D"/>
    <w:rsid w:val="00055A5A"/>
    <w:rsid w:val="00057B92"/>
    <w:rsid w:val="00057BD4"/>
    <w:rsid w:val="00057EED"/>
    <w:rsid w:val="000611B7"/>
    <w:rsid w:val="00061560"/>
    <w:rsid w:val="000621C1"/>
    <w:rsid w:val="000644FA"/>
    <w:rsid w:val="00064A01"/>
    <w:rsid w:val="0006554F"/>
    <w:rsid w:val="00066F74"/>
    <w:rsid w:val="000711FF"/>
    <w:rsid w:val="00072BEF"/>
    <w:rsid w:val="00072F43"/>
    <w:rsid w:val="00073574"/>
    <w:rsid w:val="00073D7B"/>
    <w:rsid w:val="000747FE"/>
    <w:rsid w:val="0007583D"/>
    <w:rsid w:val="00075EA0"/>
    <w:rsid w:val="00076A81"/>
    <w:rsid w:val="00076E3E"/>
    <w:rsid w:val="000778DC"/>
    <w:rsid w:val="00081C78"/>
    <w:rsid w:val="00085354"/>
    <w:rsid w:val="000857AB"/>
    <w:rsid w:val="0008728A"/>
    <w:rsid w:val="00090B3D"/>
    <w:rsid w:val="0009104F"/>
    <w:rsid w:val="000919C7"/>
    <w:rsid w:val="000920EE"/>
    <w:rsid w:val="00093770"/>
    <w:rsid w:val="00094895"/>
    <w:rsid w:val="0009545C"/>
    <w:rsid w:val="00096F06"/>
    <w:rsid w:val="000A04DF"/>
    <w:rsid w:val="000A05FB"/>
    <w:rsid w:val="000A0D60"/>
    <w:rsid w:val="000A123C"/>
    <w:rsid w:val="000A149F"/>
    <w:rsid w:val="000A1940"/>
    <w:rsid w:val="000A2061"/>
    <w:rsid w:val="000A2326"/>
    <w:rsid w:val="000A2826"/>
    <w:rsid w:val="000A45CA"/>
    <w:rsid w:val="000A4DCC"/>
    <w:rsid w:val="000A553E"/>
    <w:rsid w:val="000A58D9"/>
    <w:rsid w:val="000A7A04"/>
    <w:rsid w:val="000B2399"/>
    <w:rsid w:val="000B40E8"/>
    <w:rsid w:val="000B46E7"/>
    <w:rsid w:val="000B4874"/>
    <w:rsid w:val="000B619E"/>
    <w:rsid w:val="000B7FB8"/>
    <w:rsid w:val="000C05CD"/>
    <w:rsid w:val="000C2C94"/>
    <w:rsid w:val="000C5579"/>
    <w:rsid w:val="000C57BA"/>
    <w:rsid w:val="000C650A"/>
    <w:rsid w:val="000C6655"/>
    <w:rsid w:val="000D0026"/>
    <w:rsid w:val="000D1726"/>
    <w:rsid w:val="000D176F"/>
    <w:rsid w:val="000D1D55"/>
    <w:rsid w:val="000D3356"/>
    <w:rsid w:val="000D4705"/>
    <w:rsid w:val="000D5A7D"/>
    <w:rsid w:val="000D72B5"/>
    <w:rsid w:val="000D7963"/>
    <w:rsid w:val="000E124C"/>
    <w:rsid w:val="000E1653"/>
    <w:rsid w:val="000E1BD3"/>
    <w:rsid w:val="000E1E62"/>
    <w:rsid w:val="000E219F"/>
    <w:rsid w:val="000E5F6A"/>
    <w:rsid w:val="000E7734"/>
    <w:rsid w:val="000E7D87"/>
    <w:rsid w:val="000F0AB2"/>
    <w:rsid w:val="000F0AE0"/>
    <w:rsid w:val="000F0FF4"/>
    <w:rsid w:val="000F2C0D"/>
    <w:rsid w:val="000F2F6F"/>
    <w:rsid w:val="000F32C3"/>
    <w:rsid w:val="000F3481"/>
    <w:rsid w:val="000F4900"/>
    <w:rsid w:val="000F50C6"/>
    <w:rsid w:val="000F62B7"/>
    <w:rsid w:val="000F6591"/>
    <w:rsid w:val="000F7AE8"/>
    <w:rsid w:val="001001D3"/>
    <w:rsid w:val="00100688"/>
    <w:rsid w:val="00100AAE"/>
    <w:rsid w:val="00101150"/>
    <w:rsid w:val="00101626"/>
    <w:rsid w:val="0010429D"/>
    <w:rsid w:val="0010551D"/>
    <w:rsid w:val="001060B1"/>
    <w:rsid w:val="00107952"/>
    <w:rsid w:val="00110847"/>
    <w:rsid w:val="00111B27"/>
    <w:rsid w:val="001138F7"/>
    <w:rsid w:val="00113BC9"/>
    <w:rsid w:val="0011450E"/>
    <w:rsid w:val="00114794"/>
    <w:rsid w:val="00115F44"/>
    <w:rsid w:val="001164E4"/>
    <w:rsid w:val="00117231"/>
    <w:rsid w:val="001207F3"/>
    <w:rsid w:val="00120C3A"/>
    <w:rsid w:val="00120CE2"/>
    <w:rsid w:val="00121490"/>
    <w:rsid w:val="0012169E"/>
    <w:rsid w:val="00121790"/>
    <w:rsid w:val="001232DD"/>
    <w:rsid w:val="00123C85"/>
    <w:rsid w:val="0012494E"/>
    <w:rsid w:val="00125CE0"/>
    <w:rsid w:val="00125EF1"/>
    <w:rsid w:val="00127868"/>
    <w:rsid w:val="00130F84"/>
    <w:rsid w:val="001335CA"/>
    <w:rsid w:val="00133D8E"/>
    <w:rsid w:val="001352F5"/>
    <w:rsid w:val="00136228"/>
    <w:rsid w:val="0014116C"/>
    <w:rsid w:val="00141431"/>
    <w:rsid w:val="001418D7"/>
    <w:rsid w:val="00142027"/>
    <w:rsid w:val="00143C09"/>
    <w:rsid w:val="00147479"/>
    <w:rsid w:val="0014796E"/>
    <w:rsid w:val="001514CC"/>
    <w:rsid w:val="001523D0"/>
    <w:rsid w:val="00152713"/>
    <w:rsid w:val="00152C51"/>
    <w:rsid w:val="00152F6C"/>
    <w:rsid w:val="00156096"/>
    <w:rsid w:val="00156D96"/>
    <w:rsid w:val="0016071E"/>
    <w:rsid w:val="00163507"/>
    <w:rsid w:val="00163EA7"/>
    <w:rsid w:val="00163FFF"/>
    <w:rsid w:val="00165293"/>
    <w:rsid w:val="00167109"/>
    <w:rsid w:val="0016758A"/>
    <w:rsid w:val="0016793F"/>
    <w:rsid w:val="001705A6"/>
    <w:rsid w:val="00171CFE"/>
    <w:rsid w:val="00172848"/>
    <w:rsid w:val="001740C8"/>
    <w:rsid w:val="00174531"/>
    <w:rsid w:val="00176D1A"/>
    <w:rsid w:val="00176DB6"/>
    <w:rsid w:val="00177B29"/>
    <w:rsid w:val="0018019C"/>
    <w:rsid w:val="001818A5"/>
    <w:rsid w:val="0018293B"/>
    <w:rsid w:val="0018383C"/>
    <w:rsid w:val="0018611D"/>
    <w:rsid w:val="00187698"/>
    <w:rsid w:val="00187A6E"/>
    <w:rsid w:val="00187B1E"/>
    <w:rsid w:val="00190E21"/>
    <w:rsid w:val="00191EA6"/>
    <w:rsid w:val="0019273F"/>
    <w:rsid w:val="001932BD"/>
    <w:rsid w:val="001944DB"/>
    <w:rsid w:val="00195341"/>
    <w:rsid w:val="00195C7A"/>
    <w:rsid w:val="00197BA6"/>
    <w:rsid w:val="001A0CE4"/>
    <w:rsid w:val="001A2FBF"/>
    <w:rsid w:val="001A5E56"/>
    <w:rsid w:val="001A6A85"/>
    <w:rsid w:val="001A7440"/>
    <w:rsid w:val="001B0E0B"/>
    <w:rsid w:val="001B1696"/>
    <w:rsid w:val="001B16C8"/>
    <w:rsid w:val="001B1796"/>
    <w:rsid w:val="001B4EB9"/>
    <w:rsid w:val="001B5881"/>
    <w:rsid w:val="001B6AD1"/>
    <w:rsid w:val="001C048B"/>
    <w:rsid w:val="001C244B"/>
    <w:rsid w:val="001C2E24"/>
    <w:rsid w:val="001C2EDE"/>
    <w:rsid w:val="001C4520"/>
    <w:rsid w:val="001C466D"/>
    <w:rsid w:val="001C63D6"/>
    <w:rsid w:val="001C693A"/>
    <w:rsid w:val="001C6B52"/>
    <w:rsid w:val="001C6F20"/>
    <w:rsid w:val="001C7D6C"/>
    <w:rsid w:val="001D0F9B"/>
    <w:rsid w:val="001D1273"/>
    <w:rsid w:val="001D1E35"/>
    <w:rsid w:val="001D30B4"/>
    <w:rsid w:val="001D4811"/>
    <w:rsid w:val="001D71C1"/>
    <w:rsid w:val="001D7701"/>
    <w:rsid w:val="001D7A2E"/>
    <w:rsid w:val="001D7D90"/>
    <w:rsid w:val="001E04C0"/>
    <w:rsid w:val="001E07BF"/>
    <w:rsid w:val="001E095E"/>
    <w:rsid w:val="001E101E"/>
    <w:rsid w:val="001E1022"/>
    <w:rsid w:val="001E1479"/>
    <w:rsid w:val="001E3EE6"/>
    <w:rsid w:val="001E499A"/>
    <w:rsid w:val="001E5604"/>
    <w:rsid w:val="001E6BC7"/>
    <w:rsid w:val="001F1992"/>
    <w:rsid w:val="001F1B39"/>
    <w:rsid w:val="001F32F3"/>
    <w:rsid w:val="001F3A66"/>
    <w:rsid w:val="001F3CEC"/>
    <w:rsid w:val="001F440A"/>
    <w:rsid w:val="001F4E8D"/>
    <w:rsid w:val="001F7463"/>
    <w:rsid w:val="0020251E"/>
    <w:rsid w:val="002026F4"/>
    <w:rsid w:val="00204B12"/>
    <w:rsid w:val="00206ACD"/>
    <w:rsid w:val="00206C86"/>
    <w:rsid w:val="00210D3D"/>
    <w:rsid w:val="002110D3"/>
    <w:rsid w:val="00212EB7"/>
    <w:rsid w:val="00213FC8"/>
    <w:rsid w:val="0021465E"/>
    <w:rsid w:val="00214DB2"/>
    <w:rsid w:val="00214F81"/>
    <w:rsid w:val="00220C53"/>
    <w:rsid w:val="002213DB"/>
    <w:rsid w:val="00221698"/>
    <w:rsid w:val="00222D9F"/>
    <w:rsid w:val="00224341"/>
    <w:rsid w:val="00224CE9"/>
    <w:rsid w:val="00225561"/>
    <w:rsid w:val="00225FFC"/>
    <w:rsid w:val="0023034E"/>
    <w:rsid w:val="00230A91"/>
    <w:rsid w:val="00230C47"/>
    <w:rsid w:val="002312A2"/>
    <w:rsid w:val="002318E6"/>
    <w:rsid w:val="00231AC0"/>
    <w:rsid w:val="0023510C"/>
    <w:rsid w:val="00235540"/>
    <w:rsid w:val="0023610D"/>
    <w:rsid w:val="00237098"/>
    <w:rsid w:val="002401B7"/>
    <w:rsid w:val="00240E12"/>
    <w:rsid w:val="002415AA"/>
    <w:rsid w:val="00241F7F"/>
    <w:rsid w:val="002428A0"/>
    <w:rsid w:val="00243A34"/>
    <w:rsid w:val="00245858"/>
    <w:rsid w:val="00245915"/>
    <w:rsid w:val="00246FD3"/>
    <w:rsid w:val="002475EC"/>
    <w:rsid w:val="00247BA2"/>
    <w:rsid w:val="00251150"/>
    <w:rsid w:val="00251C9A"/>
    <w:rsid w:val="00253167"/>
    <w:rsid w:val="002532E4"/>
    <w:rsid w:val="00255788"/>
    <w:rsid w:val="00256BB7"/>
    <w:rsid w:val="00256DAB"/>
    <w:rsid w:val="00257F41"/>
    <w:rsid w:val="00260104"/>
    <w:rsid w:val="00260E6C"/>
    <w:rsid w:val="00260EE8"/>
    <w:rsid w:val="0026137F"/>
    <w:rsid w:val="00261A8C"/>
    <w:rsid w:val="00261D96"/>
    <w:rsid w:val="0026309A"/>
    <w:rsid w:val="00264304"/>
    <w:rsid w:val="0026561E"/>
    <w:rsid w:val="00266DAF"/>
    <w:rsid w:val="002710B3"/>
    <w:rsid w:val="002720AA"/>
    <w:rsid w:val="00273552"/>
    <w:rsid w:val="0027392A"/>
    <w:rsid w:val="00274B0C"/>
    <w:rsid w:val="00275989"/>
    <w:rsid w:val="00276184"/>
    <w:rsid w:val="00277031"/>
    <w:rsid w:val="002801DF"/>
    <w:rsid w:val="00280623"/>
    <w:rsid w:val="002831E0"/>
    <w:rsid w:val="00284486"/>
    <w:rsid w:val="00284C93"/>
    <w:rsid w:val="002852C2"/>
    <w:rsid w:val="002869A2"/>
    <w:rsid w:val="0029036A"/>
    <w:rsid w:val="00290A3F"/>
    <w:rsid w:val="00291031"/>
    <w:rsid w:val="00291A9A"/>
    <w:rsid w:val="00291B2C"/>
    <w:rsid w:val="002926B1"/>
    <w:rsid w:val="00292EB0"/>
    <w:rsid w:val="00292FA4"/>
    <w:rsid w:val="00294BD8"/>
    <w:rsid w:val="00295283"/>
    <w:rsid w:val="00295AD0"/>
    <w:rsid w:val="002960B0"/>
    <w:rsid w:val="002965B9"/>
    <w:rsid w:val="00296628"/>
    <w:rsid w:val="00296CB6"/>
    <w:rsid w:val="00296D7A"/>
    <w:rsid w:val="00297162"/>
    <w:rsid w:val="0029768E"/>
    <w:rsid w:val="002A01F4"/>
    <w:rsid w:val="002A0BB9"/>
    <w:rsid w:val="002A16F6"/>
    <w:rsid w:val="002A1E68"/>
    <w:rsid w:val="002A2679"/>
    <w:rsid w:val="002A2D7A"/>
    <w:rsid w:val="002A4120"/>
    <w:rsid w:val="002A58FF"/>
    <w:rsid w:val="002A6FC3"/>
    <w:rsid w:val="002B09B6"/>
    <w:rsid w:val="002B0DDD"/>
    <w:rsid w:val="002B3A63"/>
    <w:rsid w:val="002B3CBC"/>
    <w:rsid w:val="002B4313"/>
    <w:rsid w:val="002B47ED"/>
    <w:rsid w:val="002B69AA"/>
    <w:rsid w:val="002B6CB1"/>
    <w:rsid w:val="002C070D"/>
    <w:rsid w:val="002C0D73"/>
    <w:rsid w:val="002C1399"/>
    <w:rsid w:val="002C2657"/>
    <w:rsid w:val="002C2A7D"/>
    <w:rsid w:val="002C2BFB"/>
    <w:rsid w:val="002C2FB0"/>
    <w:rsid w:val="002C3196"/>
    <w:rsid w:val="002C4110"/>
    <w:rsid w:val="002C4795"/>
    <w:rsid w:val="002C48FB"/>
    <w:rsid w:val="002C4A7C"/>
    <w:rsid w:val="002C62EE"/>
    <w:rsid w:val="002C6777"/>
    <w:rsid w:val="002C7390"/>
    <w:rsid w:val="002C7728"/>
    <w:rsid w:val="002C7FF5"/>
    <w:rsid w:val="002D0E4E"/>
    <w:rsid w:val="002D0F1D"/>
    <w:rsid w:val="002D1227"/>
    <w:rsid w:val="002D325B"/>
    <w:rsid w:val="002D4060"/>
    <w:rsid w:val="002D67DF"/>
    <w:rsid w:val="002D6EA0"/>
    <w:rsid w:val="002D7054"/>
    <w:rsid w:val="002E00E2"/>
    <w:rsid w:val="002E068C"/>
    <w:rsid w:val="002E18F0"/>
    <w:rsid w:val="002E2258"/>
    <w:rsid w:val="002E26C6"/>
    <w:rsid w:val="002E50BF"/>
    <w:rsid w:val="002E66C3"/>
    <w:rsid w:val="002E7CB1"/>
    <w:rsid w:val="002F008D"/>
    <w:rsid w:val="002F12FD"/>
    <w:rsid w:val="002F13FA"/>
    <w:rsid w:val="002F1ED2"/>
    <w:rsid w:val="002F2753"/>
    <w:rsid w:val="002F278A"/>
    <w:rsid w:val="002F2EC3"/>
    <w:rsid w:val="002F3128"/>
    <w:rsid w:val="002F41C3"/>
    <w:rsid w:val="002F4778"/>
    <w:rsid w:val="002F4961"/>
    <w:rsid w:val="002F4EC6"/>
    <w:rsid w:val="002F55F3"/>
    <w:rsid w:val="002F56B1"/>
    <w:rsid w:val="002F7DC9"/>
    <w:rsid w:val="003000EC"/>
    <w:rsid w:val="00301BC4"/>
    <w:rsid w:val="00301C0F"/>
    <w:rsid w:val="003035B7"/>
    <w:rsid w:val="00303B2B"/>
    <w:rsid w:val="0030425C"/>
    <w:rsid w:val="0030481A"/>
    <w:rsid w:val="00304E40"/>
    <w:rsid w:val="00304E5D"/>
    <w:rsid w:val="00305E04"/>
    <w:rsid w:val="00305F47"/>
    <w:rsid w:val="00306DE2"/>
    <w:rsid w:val="00307239"/>
    <w:rsid w:val="00307A0A"/>
    <w:rsid w:val="0031114E"/>
    <w:rsid w:val="003128B8"/>
    <w:rsid w:val="00312F98"/>
    <w:rsid w:val="00313532"/>
    <w:rsid w:val="00313F36"/>
    <w:rsid w:val="00314895"/>
    <w:rsid w:val="003148CD"/>
    <w:rsid w:val="0031570C"/>
    <w:rsid w:val="0032078B"/>
    <w:rsid w:val="00320F6A"/>
    <w:rsid w:val="003235FF"/>
    <w:rsid w:val="003253D6"/>
    <w:rsid w:val="003261BD"/>
    <w:rsid w:val="003265CF"/>
    <w:rsid w:val="00326732"/>
    <w:rsid w:val="00327279"/>
    <w:rsid w:val="003273E3"/>
    <w:rsid w:val="003276E7"/>
    <w:rsid w:val="00327BD0"/>
    <w:rsid w:val="00327C0B"/>
    <w:rsid w:val="0033046D"/>
    <w:rsid w:val="003309C6"/>
    <w:rsid w:val="00335A7F"/>
    <w:rsid w:val="00335D65"/>
    <w:rsid w:val="00341F4A"/>
    <w:rsid w:val="0034239F"/>
    <w:rsid w:val="00342622"/>
    <w:rsid w:val="003458F1"/>
    <w:rsid w:val="003473B6"/>
    <w:rsid w:val="00352094"/>
    <w:rsid w:val="0035211F"/>
    <w:rsid w:val="003522B0"/>
    <w:rsid w:val="00352B05"/>
    <w:rsid w:val="0035540C"/>
    <w:rsid w:val="00355C33"/>
    <w:rsid w:val="00355E9E"/>
    <w:rsid w:val="003569F2"/>
    <w:rsid w:val="0035737C"/>
    <w:rsid w:val="003575C8"/>
    <w:rsid w:val="003600B8"/>
    <w:rsid w:val="003601DB"/>
    <w:rsid w:val="00360417"/>
    <w:rsid w:val="00361168"/>
    <w:rsid w:val="0036119B"/>
    <w:rsid w:val="00362E16"/>
    <w:rsid w:val="00364747"/>
    <w:rsid w:val="00364789"/>
    <w:rsid w:val="00367E5D"/>
    <w:rsid w:val="003720F7"/>
    <w:rsid w:val="0037225A"/>
    <w:rsid w:val="00372723"/>
    <w:rsid w:val="003732F6"/>
    <w:rsid w:val="0037344F"/>
    <w:rsid w:val="00373C66"/>
    <w:rsid w:val="003743B3"/>
    <w:rsid w:val="00374EED"/>
    <w:rsid w:val="003757F8"/>
    <w:rsid w:val="003759E5"/>
    <w:rsid w:val="00376603"/>
    <w:rsid w:val="00376A68"/>
    <w:rsid w:val="00376E78"/>
    <w:rsid w:val="00377853"/>
    <w:rsid w:val="00382C16"/>
    <w:rsid w:val="00387029"/>
    <w:rsid w:val="003871CD"/>
    <w:rsid w:val="003875C3"/>
    <w:rsid w:val="00390164"/>
    <w:rsid w:val="003902A3"/>
    <w:rsid w:val="00391831"/>
    <w:rsid w:val="00391FA8"/>
    <w:rsid w:val="0039232B"/>
    <w:rsid w:val="00392604"/>
    <w:rsid w:val="0039289B"/>
    <w:rsid w:val="00393F35"/>
    <w:rsid w:val="00394972"/>
    <w:rsid w:val="0039668B"/>
    <w:rsid w:val="0039668F"/>
    <w:rsid w:val="003973F1"/>
    <w:rsid w:val="003A0C27"/>
    <w:rsid w:val="003A1EE5"/>
    <w:rsid w:val="003A2254"/>
    <w:rsid w:val="003A38F5"/>
    <w:rsid w:val="003A408E"/>
    <w:rsid w:val="003A45FB"/>
    <w:rsid w:val="003A5021"/>
    <w:rsid w:val="003A5D23"/>
    <w:rsid w:val="003B154A"/>
    <w:rsid w:val="003B2AE3"/>
    <w:rsid w:val="003B3A11"/>
    <w:rsid w:val="003B3F5A"/>
    <w:rsid w:val="003B592C"/>
    <w:rsid w:val="003B656E"/>
    <w:rsid w:val="003B74E4"/>
    <w:rsid w:val="003B74ED"/>
    <w:rsid w:val="003C0473"/>
    <w:rsid w:val="003C07FB"/>
    <w:rsid w:val="003C114F"/>
    <w:rsid w:val="003C21FB"/>
    <w:rsid w:val="003C250B"/>
    <w:rsid w:val="003C42D5"/>
    <w:rsid w:val="003C4B3C"/>
    <w:rsid w:val="003C5F75"/>
    <w:rsid w:val="003C67E8"/>
    <w:rsid w:val="003C6B74"/>
    <w:rsid w:val="003D0FD6"/>
    <w:rsid w:val="003D126B"/>
    <w:rsid w:val="003D1A22"/>
    <w:rsid w:val="003D20FD"/>
    <w:rsid w:val="003D3F05"/>
    <w:rsid w:val="003D4947"/>
    <w:rsid w:val="003D710E"/>
    <w:rsid w:val="003E02CE"/>
    <w:rsid w:val="003E1048"/>
    <w:rsid w:val="003E127A"/>
    <w:rsid w:val="003E48B5"/>
    <w:rsid w:val="003E514A"/>
    <w:rsid w:val="003E5190"/>
    <w:rsid w:val="003E5F87"/>
    <w:rsid w:val="003E6072"/>
    <w:rsid w:val="003E6FB5"/>
    <w:rsid w:val="003F0A48"/>
    <w:rsid w:val="003F216C"/>
    <w:rsid w:val="003F25C4"/>
    <w:rsid w:val="003F395E"/>
    <w:rsid w:val="003F414B"/>
    <w:rsid w:val="003F510C"/>
    <w:rsid w:val="003F5B70"/>
    <w:rsid w:val="003F727C"/>
    <w:rsid w:val="0040075C"/>
    <w:rsid w:val="00401329"/>
    <w:rsid w:val="004029CA"/>
    <w:rsid w:val="00403498"/>
    <w:rsid w:val="00404C3D"/>
    <w:rsid w:val="00405DCD"/>
    <w:rsid w:val="004063B5"/>
    <w:rsid w:val="00407349"/>
    <w:rsid w:val="004076DB"/>
    <w:rsid w:val="00410423"/>
    <w:rsid w:val="00410642"/>
    <w:rsid w:val="004124A7"/>
    <w:rsid w:val="004140F6"/>
    <w:rsid w:val="00415D3A"/>
    <w:rsid w:val="00416887"/>
    <w:rsid w:val="00417F35"/>
    <w:rsid w:val="00421197"/>
    <w:rsid w:val="00422D9C"/>
    <w:rsid w:val="00424286"/>
    <w:rsid w:val="00424F17"/>
    <w:rsid w:val="00425798"/>
    <w:rsid w:val="00426071"/>
    <w:rsid w:val="00427087"/>
    <w:rsid w:val="00430BBE"/>
    <w:rsid w:val="004328A3"/>
    <w:rsid w:val="0043497A"/>
    <w:rsid w:val="00434F8E"/>
    <w:rsid w:val="00435B7C"/>
    <w:rsid w:val="00436059"/>
    <w:rsid w:val="004378A8"/>
    <w:rsid w:val="00437B54"/>
    <w:rsid w:val="0044273B"/>
    <w:rsid w:val="00442A99"/>
    <w:rsid w:val="00443089"/>
    <w:rsid w:val="00443899"/>
    <w:rsid w:val="00444A9C"/>
    <w:rsid w:val="00445030"/>
    <w:rsid w:val="00445D1F"/>
    <w:rsid w:val="00445FC3"/>
    <w:rsid w:val="004503CA"/>
    <w:rsid w:val="004504B2"/>
    <w:rsid w:val="00455C34"/>
    <w:rsid w:val="00463F8D"/>
    <w:rsid w:val="0046411C"/>
    <w:rsid w:val="00464311"/>
    <w:rsid w:val="00465CA6"/>
    <w:rsid w:val="00467E69"/>
    <w:rsid w:val="00470375"/>
    <w:rsid w:val="004723C0"/>
    <w:rsid w:val="00472D48"/>
    <w:rsid w:val="004731EF"/>
    <w:rsid w:val="00473A69"/>
    <w:rsid w:val="004745EF"/>
    <w:rsid w:val="00474EBC"/>
    <w:rsid w:val="00476769"/>
    <w:rsid w:val="004827F2"/>
    <w:rsid w:val="00482C4F"/>
    <w:rsid w:val="004834DC"/>
    <w:rsid w:val="00483E0A"/>
    <w:rsid w:val="00484076"/>
    <w:rsid w:val="00485174"/>
    <w:rsid w:val="0048656C"/>
    <w:rsid w:val="004866E1"/>
    <w:rsid w:val="0048776A"/>
    <w:rsid w:val="00487A31"/>
    <w:rsid w:val="00490605"/>
    <w:rsid w:val="00491A9D"/>
    <w:rsid w:val="0049291B"/>
    <w:rsid w:val="00493920"/>
    <w:rsid w:val="00493C66"/>
    <w:rsid w:val="0049575F"/>
    <w:rsid w:val="0049576E"/>
    <w:rsid w:val="00496244"/>
    <w:rsid w:val="00496799"/>
    <w:rsid w:val="004973E7"/>
    <w:rsid w:val="004A0657"/>
    <w:rsid w:val="004A1CE4"/>
    <w:rsid w:val="004A3290"/>
    <w:rsid w:val="004A3BC7"/>
    <w:rsid w:val="004A3D91"/>
    <w:rsid w:val="004A4043"/>
    <w:rsid w:val="004A44DF"/>
    <w:rsid w:val="004A6722"/>
    <w:rsid w:val="004B1398"/>
    <w:rsid w:val="004B7BDE"/>
    <w:rsid w:val="004B7D8B"/>
    <w:rsid w:val="004C1820"/>
    <w:rsid w:val="004C1E66"/>
    <w:rsid w:val="004C3A38"/>
    <w:rsid w:val="004C5187"/>
    <w:rsid w:val="004C688D"/>
    <w:rsid w:val="004D0229"/>
    <w:rsid w:val="004D09A1"/>
    <w:rsid w:val="004D0A4A"/>
    <w:rsid w:val="004D127B"/>
    <w:rsid w:val="004D3A98"/>
    <w:rsid w:val="004D4F2B"/>
    <w:rsid w:val="004D53E9"/>
    <w:rsid w:val="004D7941"/>
    <w:rsid w:val="004E0E72"/>
    <w:rsid w:val="004E1075"/>
    <w:rsid w:val="004E2047"/>
    <w:rsid w:val="004E3236"/>
    <w:rsid w:val="004E439B"/>
    <w:rsid w:val="004E4C20"/>
    <w:rsid w:val="004E55DA"/>
    <w:rsid w:val="004E6E03"/>
    <w:rsid w:val="004F1C54"/>
    <w:rsid w:val="004F1EDE"/>
    <w:rsid w:val="004F2BE7"/>
    <w:rsid w:val="004F3F73"/>
    <w:rsid w:val="004F4097"/>
    <w:rsid w:val="004F56CB"/>
    <w:rsid w:val="004F5D24"/>
    <w:rsid w:val="004F604A"/>
    <w:rsid w:val="004F64D7"/>
    <w:rsid w:val="004F7326"/>
    <w:rsid w:val="0050099D"/>
    <w:rsid w:val="0050107B"/>
    <w:rsid w:val="00501640"/>
    <w:rsid w:val="005021B5"/>
    <w:rsid w:val="00502AB8"/>
    <w:rsid w:val="00502B1A"/>
    <w:rsid w:val="00506B49"/>
    <w:rsid w:val="005073A9"/>
    <w:rsid w:val="005076C5"/>
    <w:rsid w:val="005100B9"/>
    <w:rsid w:val="00512AFB"/>
    <w:rsid w:val="00514495"/>
    <w:rsid w:val="00514BF6"/>
    <w:rsid w:val="005151AB"/>
    <w:rsid w:val="00515F4B"/>
    <w:rsid w:val="00516561"/>
    <w:rsid w:val="00516715"/>
    <w:rsid w:val="00517B65"/>
    <w:rsid w:val="00517D09"/>
    <w:rsid w:val="0052130B"/>
    <w:rsid w:val="005216CE"/>
    <w:rsid w:val="00521F4F"/>
    <w:rsid w:val="00522021"/>
    <w:rsid w:val="00523612"/>
    <w:rsid w:val="0052396D"/>
    <w:rsid w:val="00523F3A"/>
    <w:rsid w:val="00524372"/>
    <w:rsid w:val="00526191"/>
    <w:rsid w:val="00527E12"/>
    <w:rsid w:val="005301DD"/>
    <w:rsid w:val="005312B4"/>
    <w:rsid w:val="005313D3"/>
    <w:rsid w:val="005314C0"/>
    <w:rsid w:val="005321D7"/>
    <w:rsid w:val="00533DDD"/>
    <w:rsid w:val="00533E95"/>
    <w:rsid w:val="00533EDC"/>
    <w:rsid w:val="005346AC"/>
    <w:rsid w:val="005357AB"/>
    <w:rsid w:val="00537630"/>
    <w:rsid w:val="00537BD9"/>
    <w:rsid w:val="00540559"/>
    <w:rsid w:val="00540DA3"/>
    <w:rsid w:val="00540F55"/>
    <w:rsid w:val="005410A5"/>
    <w:rsid w:val="00541649"/>
    <w:rsid w:val="005417A3"/>
    <w:rsid w:val="0054273C"/>
    <w:rsid w:val="0054339E"/>
    <w:rsid w:val="00543432"/>
    <w:rsid w:val="0054359D"/>
    <w:rsid w:val="005451D6"/>
    <w:rsid w:val="00545A91"/>
    <w:rsid w:val="00546054"/>
    <w:rsid w:val="00546B36"/>
    <w:rsid w:val="00546F88"/>
    <w:rsid w:val="00547A34"/>
    <w:rsid w:val="00547F55"/>
    <w:rsid w:val="0055006B"/>
    <w:rsid w:val="005513D7"/>
    <w:rsid w:val="00551DF4"/>
    <w:rsid w:val="0055365D"/>
    <w:rsid w:val="005539B4"/>
    <w:rsid w:val="005550C5"/>
    <w:rsid w:val="00555112"/>
    <w:rsid w:val="0055514E"/>
    <w:rsid w:val="005558C7"/>
    <w:rsid w:val="00556ECB"/>
    <w:rsid w:val="005610C3"/>
    <w:rsid w:val="005612DB"/>
    <w:rsid w:val="005649A2"/>
    <w:rsid w:val="00566EAE"/>
    <w:rsid w:val="00566F91"/>
    <w:rsid w:val="00567B54"/>
    <w:rsid w:val="005715B8"/>
    <w:rsid w:val="00572012"/>
    <w:rsid w:val="0057327C"/>
    <w:rsid w:val="00573627"/>
    <w:rsid w:val="005751B6"/>
    <w:rsid w:val="00575BD7"/>
    <w:rsid w:val="00575E44"/>
    <w:rsid w:val="00576912"/>
    <w:rsid w:val="00576ED7"/>
    <w:rsid w:val="00577A90"/>
    <w:rsid w:val="00580F06"/>
    <w:rsid w:val="00582504"/>
    <w:rsid w:val="005828BE"/>
    <w:rsid w:val="00582B1C"/>
    <w:rsid w:val="00583BCC"/>
    <w:rsid w:val="005840D0"/>
    <w:rsid w:val="00584105"/>
    <w:rsid w:val="0058471E"/>
    <w:rsid w:val="00585E85"/>
    <w:rsid w:val="00586A0B"/>
    <w:rsid w:val="005873EC"/>
    <w:rsid w:val="005875AD"/>
    <w:rsid w:val="00590EAB"/>
    <w:rsid w:val="0059198C"/>
    <w:rsid w:val="00594522"/>
    <w:rsid w:val="00594F19"/>
    <w:rsid w:val="005A01C4"/>
    <w:rsid w:val="005A1F9A"/>
    <w:rsid w:val="005A3260"/>
    <w:rsid w:val="005A4FB3"/>
    <w:rsid w:val="005A5E8E"/>
    <w:rsid w:val="005A60D5"/>
    <w:rsid w:val="005A69FF"/>
    <w:rsid w:val="005B0CEA"/>
    <w:rsid w:val="005B0F8F"/>
    <w:rsid w:val="005B1180"/>
    <w:rsid w:val="005B20E4"/>
    <w:rsid w:val="005B349F"/>
    <w:rsid w:val="005B4AA3"/>
    <w:rsid w:val="005B4B8F"/>
    <w:rsid w:val="005B5235"/>
    <w:rsid w:val="005C1E34"/>
    <w:rsid w:val="005C6295"/>
    <w:rsid w:val="005C67AF"/>
    <w:rsid w:val="005C6E97"/>
    <w:rsid w:val="005C757A"/>
    <w:rsid w:val="005C7709"/>
    <w:rsid w:val="005C7861"/>
    <w:rsid w:val="005C7A9C"/>
    <w:rsid w:val="005D1072"/>
    <w:rsid w:val="005D36D9"/>
    <w:rsid w:val="005D3CE3"/>
    <w:rsid w:val="005D61CD"/>
    <w:rsid w:val="005D775F"/>
    <w:rsid w:val="005D7A9A"/>
    <w:rsid w:val="005D7BE6"/>
    <w:rsid w:val="005E0016"/>
    <w:rsid w:val="005E11EA"/>
    <w:rsid w:val="005E1379"/>
    <w:rsid w:val="005E2139"/>
    <w:rsid w:val="005E2284"/>
    <w:rsid w:val="005E36B5"/>
    <w:rsid w:val="005E6182"/>
    <w:rsid w:val="005E7CD7"/>
    <w:rsid w:val="005F0A47"/>
    <w:rsid w:val="005F0F5E"/>
    <w:rsid w:val="005F1759"/>
    <w:rsid w:val="005F1B23"/>
    <w:rsid w:val="005F201C"/>
    <w:rsid w:val="005F29AB"/>
    <w:rsid w:val="005F31FB"/>
    <w:rsid w:val="005F42BF"/>
    <w:rsid w:val="005F5019"/>
    <w:rsid w:val="005F5CC4"/>
    <w:rsid w:val="005F6A72"/>
    <w:rsid w:val="005F7D18"/>
    <w:rsid w:val="0060044F"/>
    <w:rsid w:val="006009CB"/>
    <w:rsid w:val="00600EF4"/>
    <w:rsid w:val="0060109B"/>
    <w:rsid w:val="00601CA5"/>
    <w:rsid w:val="0060358E"/>
    <w:rsid w:val="00604711"/>
    <w:rsid w:val="006054AA"/>
    <w:rsid w:val="00605925"/>
    <w:rsid w:val="00605E54"/>
    <w:rsid w:val="00607F9A"/>
    <w:rsid w:val="006103BE"/>
    <w:rsid w:val="006112AB"/>
    <w:rsid w:val="00611CC0"/>
    <w:rsid w:val="0061272B"/>
    <w:rsid w:val="006128C2"/>
    <w:rsid w:val="006134B7"/>
    <w:rsid w:val="006135B7"/>
    <w:rsid w:val="00613E1E"/>
    <w:rsid w:val="006144AE"/>
    <w:rsid w:val="00614ABD"/>
    <w:rsid w:val="00614EC0"/>
    <w:rsid w:val="00615034"/>
    <w:rsid w:val="0062030C"/>
    <w:rsid w:val="006203D1"/>
    <w:rsid w:val="00620949"/>
    <w:rsid w:val="00621D97"/>
    <w:rsid w:val="00622C0B"/>
    <w:rsid w:val="0062366E"/>
    <w:rsid w:val="006236F8"/>
    <w:rsid w:val="006250A6"/>
    <w:rsid w:val="00625646"/>
    <w:rsid w:val="00625720"/>
    <w:rsid w:val="00626162"/>
    <w:rsid w:val="00627B1B"/>
    <w:rsid w:val="0063118C"/>
    <w:rsid w:val="006324CE"/>
    <w:rsid w:val="006337EB"/>
    <w:rsid w:val="0063409A"/>
    <w:rsid w:val="00634CC2"/>
    <w:rsid w:val="006362EC"/>
    <w:rsid w:val="0063690E"/>
    <w:rsid w:val="00636F08"/>
    <w:rsid w:val="006374FD"/>
    <w:rsid w:val="00643322"/>
    <w:rsid w:val="006444F7"/>
    <w:rsid w:val="00645446"/>
    <w:rsid w:val="006474E2"/>
    <w:rsid w:val="00651385"/>
    <w:rsid w:val="00651F0A"/>
    <w:rsid w:val="00653158"/>
    <w:rsid w:val="006539FE"/>
    <w:rsid w:val="00653F02"/>
    <w:rsid w:val="00654A84"/>
    <w:rsid w:val="006550B4"/>
    <w:rsid w:val="006551AC"/>
    <w:rsid w:val="00657A7A"/>
    <w:rsid w:val="00660119"/>
    <w:rsid w:val="00660C74"/>
    <w:rsid w:val="0066179A"/>
    <w:rsid w:val="0066265A"/>
    <w:rsid w:val="0066312A"/>
    <w:rsid w:val="0066525D"/>
    <w:rsid w:val="0066560C"/>
    <w:rsid w:val="00665D5A"/>
    <w:rsid w:val="0066771B"/>
    <w:rsid w:val="00667B11"/>
    <w:rsid w:val="0067078C"/>
    <w:rsid w:val="00673016"/>
    <w:rsid w:val="006737E4"/>
    <w:rsid w:val="00673FBE"/>
    <w:rsid w:val="0067470C"/>
    <w:rsid w:val="006762C8"/>
    <w:rsid w:val="006802C4"/>
    <w:rsid w:val="00681B30"/>
    <w:rsid w:val="00685067"/>
    <w:rsid w:val="0068687A"/>
    <w:rsid w:val="00687EAD"/>
    <w:rsid w:val="00690522"/>
    <w:rsid w:val="006905EA"/>
    <w:rsid w:val="00691A3F"/>
    <w:rsid w:val="00692C4E"/>
    <w:rsid w:val="00692D5E"/>
    <w:rsid w:val="006A0966"/>
    <w:rsid w:val="006A099D"/>
    <w:rsid w:val="006A1349"/>
    <w:rsid w:val="006A1D01"/>
    <w:rsid w:val="006A37E2"/>
    <w:rsid w:val="006A3F58"/>
    <w:rsid w:val="006A707C"/>
    <w:rsid w:val="006A7875"/>
    <w:rsid w:val="006B05EA"/>
    <w:rsid w:val="006B1456"/>
    <w:rsid w:val="006B2033"/>
    <w:rsid w:val="006B2363"/>
    <w:rsid w:val="006B2B70"/>
    <w:rsid w:val="006B2C7B"/>
    <w:rsid w:val="006B3D72"/>
    <w:rsid w:val="006B50CC"/>
    <w:rsid w:val="006B5710"/>
    <w:rsid w:val="006B682F"/>
    <w:rsid w:val="006B7635"/>
    <w:rsid w:val="006C04BF"/>
    <w:rsid w:val="006C1ACB"/>
    <w:rsid w:val="006C1C88"/>
    <w:rsid w:val="006C38F8"/>
    <w:rsid w:val="006C4882"/>
    <w:rsid w:val="006C4DF1"/>
    <w:rsid w:val="006C6026"/>
    <w:rsid w:val="006D0586"/>
    <w:rsid w:val="006D0A33"/>
    <w:rsid w:val="006D174C"/>
    <w:rsid w:val="006D1FE8"/>
    <w:rsid w:val="006D26D9"/>
    <w:rsid w:val="006D2D25"/>
    <w:rsid w:val="006D35E6"/>
    <w:rsid w:val="006D3E25"/>
    <w:rsid w:val="006D3F1E"/>
    <w:rsid w:val="006D5118"/>
    <w:rsid w:val="006D6BE9"/>
    <w:rsid w:val="006D6C5B"/>
    <w:rsid w:val="006E270E"/>
    <w:rsid w:val="006E29E7"/>
    <w:rsid w:val="006E5BD7"/>
    <w:rsid w:val="006E6399"/>
    <w:rsid w:val="006E6DD0"/>
    <w:rsid w:val="006E6EB2"/>
    <w:rsid w:val="006F0D97"/>
    <w:rsid w:val="006F16FB"/>
    <w:rsid w:val="006F279E"/>
    <w:rsid w:val="006F4F3B"/>
    <w:rsid w:val="006F580F"/>
    <w:rsid w:val="006F62AA"/>
    <w:rsid w:val="0070036C"/>
    <w:rsid w:val="00700C34"/>
    <w:rsid w:val="00700EA1"/>
    <w:rsid w:val="00700EAF"/>
    <w:rsid w:val="00702551"/>
    <w:rsid w:val="00702EBA"/>
    <w:rsid w:val="00703156"/>
    <w:rsid w:val="007040FE"/>
    <w:rsid w:val="00704C2E"/>
    <w:rsid w:val="007052A4"/>
    <w:rsid w:val="00705D75"/>
    <w:rsid w:val="00706E13"/>
    <w:rsid w:val="007106A3"/>
    <w:rsid w:val="00710CFC"/>
    <w:rsid w:val="00711AB7"/>
    <w:rsid w:val="00711CD1"/>
    <w:rsid w:val="00712D5E"/>
    <w:rsid w:val="00714C35"/>
    <w:rsid w:val="00715A26"/>
    <w:rsid w:val="00716AEB"/>
    <w:rsid w:val="00717913"/>
    <w:rsid w:val="00717F4D"/>
    <w:rsid w:val="007207B0"/>
    <w:rsid w:val="00721059"/>
    <w:rsid w:val="007210CE"/>
    <w:rsid w:val="00721996"/>
    <w:rsid w:val="00721B1C"/>
    <w:rsid w:val="00722287"/>
    <w:rsid w:val="007232CA"/>
    <w:rsid w:val="007235A3"/>
    <w:rsid w:val="007238D4"/>
    <w:rsid w:val="0072461A"/>
    <w:rsid w:val="00724F62"/>
    <w:rsid w:val="00725271"/>
    <w:rsid w:val="007269F9"/>
    <w:rsid w:val="00726CE4"/>
    <w:rsid w:val="00730421"/>
    <w:rsid w:val="00731033"/>
    <w:rsid w:val="00731B8C"/>
    <w:rsid w:val="00734360"/>
    <w:rsid w:val="007347CA"/>
    <w:rsid w:val="0073514B"/>
    <w:rsid w:val="007362F8"/>
    <w:rsid w:val="0073751D"/>
    <w:rsid w:val="00740224"/>
    <w:rsid w:val="00740A49"/>
    <w:rsid w:val="00740A60"/>
    <w:rsid w:val="007412C3"/>
    <w:rsid w:val="007436E8"/>
    <w:rsid w:val="0074629D"/>
    <w:rsid w:val="007505D7"/>
    <w:rsid w:val="007506FC"/>
    <w:rsid w:val="0075103D"/>
    <w:rsid w:val="0075154C"/>
    <w:rsid w:val="007526AB"/>
    <w:rsid w:val="0075579B"/>
    <w:rsid w:val="00755ED2"/>
    <w:rsid w:val="007560C5"/>
    <w:rsid w:val="0075695D"/>
    <w:rsid w:val="00756C3F"/>
    <w:rsid w:val="00761123"/>
    <w:rsid w:val="007616C5"/>
    <w:rsid w:val="00761F1B"/>
    <w:rsid w:val="007640DA"/>
    <w:rsid w:val="00764611"/>
    <w:rsid w:val="007657AB"/>
    <w:rsid w:val="00765A25"/>
    <w:rsid w:val="0077014F"/>
    <w:rsid w:val="0077022C"/>
    <w:rsid w:val="00770393"/>
    <w:rsid w:val="0077362F"/>
    <w:rsid w:val="007736B0"/>
    <w:rsid w:val="00774508"/>
    <w:rsid w:val="00780F1C"/>
    <w:rsid w:val="0078309E"/>
    <w:rsid w:val="00784038"/>
    <w:rsid w:val="007856D6"/>
    <w:rsid w:val="00785856"/>
    <w:rsid w:val="00785F7E"/>
    <w:rsid w:val="0078604B"/>
    <w:rsid w:val="00786CF3"/>
    <w:rsid w:val="00786D1F"/>
    <w:rsid w:val="0078793F"/>
    <w:rsid w:val="00792278"/>
    <w:rsid w:val="00792829"/>
    <w:rsid w:val="00792CDD"/>
    <w:rsid w:val="00792F3A"/>
    <w:rsid w:val="00794B15"/>
    <w:rsid w:val="00794FA3"/>
    <w:rsid w:val="00795F61"/>
    <w:rsid w:val="00796223"/>
    <w:rsid w:val="007963D5"/>
    <w:rsid w:val="00796C1E"/>
    <w:rsid w:val="00797C04"/>
    <w:rsid w:val="007A1F4F"/>
    <w:rsid w:val="007A2A42"/>
    <w:rsid w:val="007A41C0"/>
    <w:rsid w:val="007A42FF"/>
    <w:rsid w:val="007A5CB0"/>
    <w:rsid w:val="007A7866"/>
    <w:rsid w:val="007B00FD"/>
    <w:rsid w:val="007B04D1"/>
    <w:rsid w:val="007B1D01"/>
    <w:rsid w:val="007B4953"/>
    <w:rsid w:val="007B5518"/>
    <w:rsid w:val="007B5D4F"/>
    <w:rsid w:val="007B6128"/>
    <w:rsid w:val="007B620E"/>
    <w:rsid w:val="007B6C1C"/>
    <w:rsid w:val="007B6DDF"/>
    <w:rsid w:val="007B70EB"/>
    <w:rsid w:val="007B7BDF"/>
    <w:rsid w:val="007C0517"/>
    <w:rsid w:val="007C1F89"/>
    <w:rsid w:val="007C289C"/>
    <w:rsid w:val="007C2B55"/>
    <w:rsid w:val="007C2CFF"/>
    <w:rsid w:val="007C300F"/>
    <w:rsid w:val="007C35F7"/>
    <w:rsid w:val="007C3639"/>
    <w:rsid w:val="007C4FC5"/>
    <w:rsid w:val="007C684F"/>
    <w:rsid w:val="007C6D24"/>
    <w:rsid w:val="007C7AB6"/>
    <w:rsid w:val="007D24FA"/>
    <w:rsid w:val="007D280D"/>
    <w:rsid w:val="007D420E"/>
    <w:rsid w:val="007D650C"/>
    <w:rsid w:val="007D6828"/>
    <w:rsid w:val="007D6F32"/>
    <w:rsid w:val="007D7913"/>
    <w:rsid w:val="007E0488"/>
    <w:rsid w:val="007E1B9C"/>
    <w:rsid w:val="007E1C8C"/>
    <w:rsid w:val="007E1EBC"/>
    <w:rsid w:val="007E3EE0"/>
    <w:rsid w:val="007E4E42"/>
    <w:rsid w:val="007E583C"/>
    <w:rsid w:val="007E58CD"/>
    <w:rsid w:val="007E5A67"/>
    <w:rsid w:val="007E7039"/>
    <w:rsid w:val="007F0EE2"/>
    <w:rsid w:val="007F12BE"/>
    <w:rsid w:val="007F2874"/>
    <w:rsid w:val="007F2BB3"/>
    <w:rsid w:val="007F3015"/>
    <w:rsid w:val="007F44E5"/>
    <w:rsid w:val="007F4DA0"/>
    <w:rsid w:val="007F4F62"/>
    <w:rsid w:val="007F51E5"/>
    <w:rsid w:val="007F5E36"/>
    <w:rsid w:val="007F7171"/>
    <w:rsid w:val="007F7EAA"/>
    <w:rsid w:val="0080050B"/>
    <w:rsid w:val="00800E4D"/>
    <w:rsid w:val="00801461"/>
    <w:rsid w:val="008020A1"/>
    <w:rsid w:val="00803C26"/>
    <w:rsid w:val="00803CEE"/>
    <w:rsid w:val="00804607"/>
    <w:rsid w:val="0080526B"/>
    <w:rsid w:val="0080737D"/>
    <w:rsid w:val="00811380"/>
    <w:rsid w:val="00812FB0"/>
    <w:rsid w:val="00813CA6"/>
    <w:rsid w:val="0081555D"/>
    <w:rsid w:val="0081651A"/>
    <w:rsid w:val="00816EAA"/>
    <w:rsid w:val="00817FFD"/>
    <w:rsid w:val="008208E1"/>
    <w:rsid w:val="00822E3B"/>
    <w:rsid w:val="008232D3"/>
    <w:rsid w:val="0082408B"/>
    <w:rsid w:val="0082499D"/>
    <w:rsid w:val="008252D0"/>
    <w:rsid w:val="00825EED"/>
    <w:rsid w:val="008266FC"/>
    <w:rsid w:val="008270A6"/>
    <w:rsid w:val="00827FA3"/>
    <w:rsid w:val="008313C5"/>
    <w:rsid w:val="008314FF"/>
    <w:rsid w:val="008317E1"/>
    <w:rsid w:val="00834C4C"/>
    <w:rsid w:val="008354DA"/>
    <w:rsid w:val="00835599"/>
    <w:rsid w:val="00835F6C"/>
    <w:rsid w:val="0083662F"/>
    <w:rsid w:val="00836736"/>
    <w:rsid w:val="00837BD4"/>
    <w:rsid w:val="00837C1E"/>
    <w:rsid w:val="00840139"/>
    <w:rsid w:val="00843D6F"/>
    <w:rsid w:val="00843DBF"/>
    <w:rsid w:val="00844815"/>
    <w:rsid w:val="00844B49"/>
    <w:rsid w:val="008450E2"/>
    <w:rsid w:val="0084554A"/>
    <w:rsid w:val="00845B35"/>
    <w:rsid w:val="008463B3"/>
    <w:rsid w:val="0084663C"/>
    <w:rsid w:val="008468A1"/>
    <w:rsid w:val="0084690B"/>
    <w:rsid w:val="008476C6"/>
    <w:rsid w:val="008521F6"/>
    <w:rsid w:val="00853857"/>
    <w:rsid w:val="00853BAE"/>
    <w:rsid w:val="00854A0E"/>
    <w:rsid w:val="00856444"/>
    <w:rsid w:val="008619EF"/>
    <w:rsid w:val="00862D08"/>
    <w:rsid w:val="00865256"/>
    <w:rsid w:val="00866CF0"/>
    <w:rsid w:val="008701CF"/>
    <w:rsid w:val="008713F3"/>
    <w:rsid w:val="00871FF0"/>
    <w:rsid w:val="0087471E"/>
    <w:rsid w:val="00874C7D"/>
    <w:rsid w:val="00874FEC"/>
    <w:rsid w:val="00875CDA"/>
    <w:rsid w:val="00876592"/>
    <w:rsid w:val="0087665A"/>
    <w:rsid w:val="00876AA7"/>
    <w:rsid w:val="00877264"/>
    <w:rsid w:val="00880941"/>
    <w:rsid w:val="0088170F"/>
    <w:rsid w:val="008841D5"/>
    <w:rsid w:val="00886C1F"/>
    <w:rsid w:val="0088780B"/>
    <w:rsid w:val="00890C01"/>
    <w:rsid w:val="00891244"/>
    <w:rsid w:val="008912D7"/>
    <w:rsid w:val="00891FAB"/>
    <w:rsid w:val="00894A6B"/>
    <w:rsid w:val="008957C8"/>
    <w:rsid w:val="00895AA2"/>
    <w:rsid w:val="00895DEC"/>
    <w:rsid w:val="00896AF4"/>
    <w:rsid w:val="00896D1F"/>
    <w:rsid w:val="008A02D1"/>
    <w:rsid w:val="008A04E0"/>
    <w:rsid w:val="008A0E6F"/>
    <w:rsid w:val="008A6A50"/>
    <w:rsid w:val="008A6DD9"/>
    <w:rsid w:val="008A7524"/>
    <w:rsid w:val="008A7E02"/>
    <w:rsid w:val="008A7E7B"/>
    <w:rsid w:val="008B0859"/>
    <w:rsid w:val="008B130E"/>
    <w:rsid w:val="008B322C"/>
    <w:rsid w:val="008B44C0"/>
    <w:rsid w:val="008B4D9B"/>
    <w:rsid w:val="008B5267"/>
    <w:rsid w:val="008B57F7"/>
    <w:rsid w:val="008B677D"/>
    <w:rsid w:val="008B6BE4"/>
    <w:rsid w:val="008C0F03"/>
    <w:rsid w:val="008C1103"/>
    <w:rsid w:val="008C18CD"/>
    <w:rsid w:val="008C20FA"/>
    <w:rsid w:val="008C7C6A"/>
    <w:rsid w:val="008D27A2"/>
    <w:rsid w:val="008D485D"/>
    <w:rsid w:val="008D56A1"/>
    <w:rsid w:val="008D5750"/>
    <w:rsid w:val="008D5770"/>
    <w:rsid w:val="008D6E1B"/>
    <w:rsid w:val="008D7FA4"/>
    <w:rsid w:val="008E0093"/>
    <w:rsid w:val="008E054A"/>
    <w:rsid w:val="008E0F7D"/>
    <w:rsid w:val="008E170A"/>
    <w:rsid w:val="008E3678"/>
    <w:rsid w:val="008E3BBF"/>
    <w:rsid w:val="008E4A9A"/>
    <w:rsid w:val="008E53CF"/>
    <w:rsid w:val="008F29BE"/>
    <w:rsid w:val="008F3DA6"/>
    <w:rsid w:val="008F3F2C"/>
    <w:rsid w:val="008F4E81"/>
    <w:rsid w:val="008F5EDF"/>
    <w:rsid w:val="008F7A02"/>
    <w:rsid w:val="00902ED6"/>
    <w:rsid w:val="00903B63"/>
    <w:rsid w:val="0090462A"/>
    <w:rsid w:val="00904E8D"/>
    <w:rsid w:val="009113FF"/>
    <w:rsid w:val="009114CB"/>
    <w:rsid w:val="00914EF0"/>
    <w:rsid w:val="00915E65"/>
    <w:rsid w:val="00917320"/>
    <w:rsid w:val="0092001D"/>
    <w:rsid w:val="0092148B"/>
    <w:rsid w:val="00923671"/>
    <w:rsid w:val="00924E4A"/>
    <w:rsid w:val="00925160"/>
    <w:rsid w:val="009306E6"/>
    <w:rsid w:val="009307AE"/>
    <w:rsid w:val="00930E07"/>
    <w:rsid w:val="0093112A"/>
    <w:rsid w:val="009311EF"/>
    <w:rsid w:val="00931EF4"/>
    <w:rsid w:val="009324F6"/>
    <w:rsid w:val="009337B0"/>
    <w:rsid w:val="009338D4"/>
    <w:rsid w:val="009344E3"/>
    <w:rsid w:val="00934755"/>
    <w:rsid w:val="00936011"/>
    <w:rsid w:val="00936E0A"/>
    <w:rsid w:val="009379C4"/>
    <w:rsid w:val="0094166E"/>
    <w:rsid w:val="00941A87"/>
    <w:rsid w:val="00946797"/>
    <w:rsid w:val="00946C19"/>
    <w:rsid w:val="00946E3D"/>
    <w:rsid w:val="009475E7"/>
    <w:rsid w:val="00950AFC"/>
    <w:rsid w:val="00951FCD"/>
    <w:rsid w:val="009522C1"/>
    <w:rsid w:val="0095241C"/>
    <w:rsid w:val="00953033"/>
    <w:rsid w:val="0095500C"/>
    <w:rsid w:val="0095576D"/>
    <w:rsid w:val="009563C1"/>
    <w:rsid w:val="00957332"/>
    <w:rsid w:val="00957D0A"/>
    <w:rsid w:val="00960565"/>
    <w:rsid w:val="0096283E"/>
    <w:rsid w:val="0096289C"/>
    <w:rsid w:val="0096478D"/>
    <w:rsid w:val="0096516E"/>
    <w:rsid w:val="00966E65"/>
    <w:rsid w:val="00967382"/>
    <w:rsid w:val="009674D7"/>
    <w:rsid w:val="00967FEA"/>
    <w:rsid w:val="00970435"/>
    <w:rsid w:val="00974B59"/>
    <w:rsid w:val="00974BD1"/>
    <w:rsid w:val="00974BE9"/>
    <w:rsid w:val="00975BA8"/>
    <w:rsid w:val="00975DB4"/>
    <w:rsid w:val="009771B0"/>
    <w:rsid w:val="00977E18"/>
    <w:rsid w:val="00977FB5"/>
    <w:rsid w:val="009817D0"/>
    <w:rsid w:val="00987DF2"/>
    <w:rsid w:val="00990AB2"/>
    <w:rsid w:val="00993639"/>
    <w:rsid w:val="009944E9"/>
    <w:rsid w:val="0099493B"/>
    <w:rsid w:val="00994E99"/>
    <w:rsid w:val="00994F2A"/>
    <w:rsid w:val="00995F48"/>
    <w:rsid w:val="00996333"/>
    <w:rsid w:val="00996D25"/>
    <w:rsid w:val="00996E4E"/>
    <w:rsid w:val="009A1AA6"/>
    <w:rsid w:val="009A2780"/>
    <w:rsid w:val="009A4C84"/>
    <w:rsid w:val="009A68AD"/>
    <w:rsid w:val="009A76BF"/>
    <w:rsid w:val="009B03CF"/>
    <w:rsid w:val="009B1844"/>
    <w:rsid w:val="009B23DE"/>
    <w:rsid w:val="009B290D"/>
    <w:rsid w:val="009B2C84"/>
    <w:rsid w:val="009B368E"/>
    <w:rsid w:val="009B3AE5"/>
    <w:rsid w:val="009B3D06"/>
    <w:rsid w:val="009B4489"/>
    <w:rsid w:val="009B53CC"/>
    <w:rsid w:val="009B62E6"/>
    <w:rsid w:val="009B6ED7"/>
    <w:rsid w:val="009C0359"/>
    <w:rsid w:val="009C1D3D"/>
    <w:rsid w:val="009C2305"/>
    <w:rsid w:val="009C40D9"/>
    <w:rsid w:val="009C43F0"/>
    <w:rsid w:val="009C4A41"/>
    <w:rsid w:val="009C58F7"/>
    <w:rsid w:val="009C6053"/>
    <w:rsid w:val="009C61F5"/>
    <w:rsid w:val="009C66FC"/>
    <w:rsid w:val="009C67D3"/>
    <w:rsid w:val="009C722A"/>
    <w:rsid w:val="009C7C03"/>
    <w:rsid w:val="009D05FD"/>
    <w:rsid w:val="009D1097"/>
    <w:rsid w:val="009D19FE"/>
    <w:rsid w:val="009D2190"/>
    <w:rsid w:val="009D3646"/>
    <w:rsid w:val="009D3F49"/>
    <w:rsid w:val="009D4B0B"/>
    <w:rsid w:val="009D4D8A"/>
    <w:rsid w:val="009D4DC4"/>
    <w:rsid w:val="009D51A9"/>
    <w:rsid w:val="009D5A6E"/>
    <w:rsid w:val="009D6ADD"/>
    <w:rsid w:val="009D71C7"/>
    <w:rsid w:val="009E00D9"/>
    <w:rsid w:val="009E054B"/>
    <w:rsid w:val="009E0BDF"/>
    <w:rsid w:val="009E1233"/>
    <w:rsid w:val="009E16EF"/>
    <w:rsid w:val="009E1B20"/>
    <w:rsid w:val="009E1B93"/>
    <w:rsid w:val="009E3E1B"/>
    <w:rsid w:val="009E50BE"/>
    <w:rsid w:val="009E6DE2"/>
    <w:rsid w:val="009F1473"/>
    <w:rsid w:val="009F3387"/>
    <w:rsid w:val="009F46C7"/>
    <w:rsid w:val="009F49C2"/>
    <w:rsid w:val="009F5B25"/>
    <w:rsid w:val="009F74F9"/>
    <w:rsid w:val="009F7617"/>
    <w:rsid w:val="009F7C9B"/>
    <w:rsid w:val="00A0281E"/>
    <w:rsid w:val="00A032E3"/>
    <w:rsid w:val="00A039E9"/>
    <w:rsid w:val="00A05BDA"/>
    <w:rsid w:val="00A05F07"/>
    <w:rsid w:val="00A06E96"/>
    <w:rsid w:val="00A07628"/>
    <w:rsid w:val="00A0786B"/>
    <w:rsid w:val="00A07E7E"/>
    <w:rsid w:val="00A11A4F"/>
    <w:rsid w:val="00A1304A"/>
    <w:rsid w:val="00A145A3"/>
    <w:rsid w:val="00A15251"/>
    <w:rsid w:val="00A15DAC"/>
    <w:rsid w:val="00A17899"/>
    <w:rsid w:val="00A20577"/>
    <w:rsid w:val="00A208D6"/>
    <w:rsid w:val="00A20941"/>
    <w:rsid w:val="00A21D4E"/>
    <w:rsid w:val="00A2245D"/>
    <w:rsid w:val="00A227C4"/>
    <w:rsid w:val="00A22F9A"/>
    <w:rsid w:val="00A245DC"/>
    <w:rsid w:val="00A250B1"/>
    <w:rsid w:val="00A2521D"/>
    <w:rsid w:val="00A26208"/>
    <w:rsid w:val="00A2683F"/>
    <w:rsid w:val="00A2691F"/>
    <w:rsid w:val="00A27694"/>
    <w:rsid w:val="00A305C3"/>
    <w:rsid w:val="00A31B6C"/>
    <w:rsid w:val="00A31E86"/>
    <w:rsid w:val="00A32970"/>
    <w:rsid w:val="00A33A51"/>
    <w:rsid w:val="00A33CBF"/>
    <w:rsid w:val="00A3589A"/>
    <w:rsid w:val="00A3626F"/>
    <w:rsid w:val="00A37BA6"/>
    <w:rsid w:val="00A40061"/>
    <w:rsid w:val="00A40A68"/>
    <w:rsid w:val="00A40AE3"/>
    <w:rsid w:val="00A41DA6"/>
    <w:rsid w:val="00A42664"/>
    <w:rsid w:val="00A42B30"/>
    <w:rsid w:val="00A43871"/>
    <w:rsid w:val="00A44179"/>
    <w:rsid w:val="00A44632"/>
    <w:rsid w:val="00A45D24"/>
    <w:rsid w:val="00A45E83"/>
    <w:rsid w:val="00A4793B"/>
    <w:rsid w:val="00A47A39"/>
    <w:rsid w:val="00A50918"/>
    <w:rsid w:val="00A50B86"/>
    <w:rsid w:val="00A51E41"/>
    <w:rsid w:val="00A5227E"/>
    <w:rsid w:val="00A53674"/>
    <w:rsid w:val="00A53814"/>
    <w:rsid w:val="00A53BA9"/>
    <w:rsid w:val="00A5430E"/>
    <w:rsid w:val="00A5446D"/>
    <w:rsid w:val="00A548E9"/>
    <w:rsid w:val="00A54990"/>
    <w:rsid w:val="00A56468"/>
    <w:rsid w:val="00A571FE"/>
    <w:rsid w:val="00A57D47"/>
    <w:rsid w:val="00A605C4"/>
    <w:rsid w:val="00A60B67"/>
    <w:rsid w:val="00A64449"/>
    <w:rsid w:val="00A655B1"/>
    <w:rsid w:val="00A659AC"/>
    <w:rsid w:val="00A65ABB"/>
    <w:rsid w:val="00A67531"/>
    <w:rsid w:val="00A67FC1"/>
    <w:rsid w:val="00A7197A"/>
    <w:rsid w:val="00A720B3"/>
    <w:rsid w:val="00A72101"/>
    <w:rsid w:val="00A7284B"/>
    <w:rsid w:val="00A7378D"/>
    <w:rsid w:val="00A7388F"/>
    <w:rsid w:val="00A74581"/>
    <w:rsid w:val="00A74ABD"/>
    <w:rsid w:val="00A7543C"/>
    <w:rsid w:val="00A755D4"/>
    <w:rsid w:val="00A7591D"/>
    <w:rsid w:val="00A766AF"/>
    <w:rsid w:val="00A76BA1"/>
    <w:rsid w:val="00A778B9"/>
    <w:rsid w:val="00A80098"/>
    <w:rsid w:val="00A82640"/>
    <w:rsid w:val="00A83262"/>
    <w:rsid w:val="00A83565"/>
    <w:rsid w:val="00A837F2"/>
    <w:rsid w:val="00A8429D"/>
    <w:rsid w:val="00A85D56"/>
    <w:rsid w:val="00A869DB"/>
    <w:rsid w:val="00A87691"/>
    <w:rsid w:val="00A87FDE"/>
    <w:rsid w:val="00A91A36"/>
    <w:rsid w:val="00A921F8"/>
    <w:rsid w:val="00A9273F"/>
    <w:rsid w:val="00A92DA3"/>
    <w:rsid w:val="00A9415F"/>
    <w:rsid w:val="00A95596"/>
    <w:rsid w:val="00A96148"/>
    <w:rsid w:val="00A96ED7"/>
    <w:rsid w:val="00A979B5"/>
    <w:rsid w:val="00AA087D"/>
    <w:rsid w:val="00AA093C"/>
    <w:rsid w:val="00AA11D3"/>
    <w:rsid w:val="00AA1E8F"/>
    <w:rsid w:val="00AA2041"/>
    <w:rsid w:val="00AA2632"/>
    <w:rsid w:val="00AA2786"/>
    <w:rsid w:val="00AA395D"/>
    <w:rsid w:val="00AA5726"/>
    <w:rsid w:val="00AA77ED"/>
    <w:rsid w:val="00AB0231"/>
    <w:rsid w:val="00AB04B7"/>
    <w:rsid w:val="00AB6BF3"/>
    <w:rsid w:val="00AB75D1"/>
    <w:rsid w:val="00AC05B0"/>
    <w:rsid w:val="00AC0DBE"/>
    <w:rsid w:val="00AC24A7"/>
    <w:rsid w:val="00AC2B85"/>
    <w:rsid w:val="00AC3131"/>
    <w:rsid w:val="00AC3C0B"/>
    <w:rsid w:val="00AC4326"/>
    <w:rsid w:val="00AC5DF3"/>
    <w:rsid w:val="00AC66D6"/>
    <w:rsid w:val="00AC6A01"/>
    <w:rsid w:val="00AC6DD2"/>
    <w:rsid w:val="00AC73E6"/>
    <w:rsid w:val="00AD1845"/>
    <w:rsid w:val="00AD24E0"/>
    <w:rsid w:val="00AD24F5"/>
    <w:rsid w:val="00AD30E6"/>
    <w:rsid w:val="00AD3202"/>
    <w:rsid w:val="00AD41AE"/>
    <w:rsid w:val="00AD55F1"/>
    <w:rsid w:val="00AD784F"/>
    <w:rsid w:val="00AD7C24"/>
    <w:rsid w:val="00AE15E6"/>
    <w:rsid w:val="00AE1B4E"/>
    <w:rsid w:val="00AE2ABD"/>
    <w:rsid w:val="00AE2DFC"/>
    <w:rsid w:val="00AE346D"/>
    <w:rsid w:val="00AE3670"/>
    <w:rsid w:val="00AE3D72"/>
    <w:rsid w:val="00AE4510"/>
    <w:rsid w:val="00AE4933"/>
    <w:rsid w:val="00AE55BF"/>
    <w:rsid w:val="00AE5FC3"/>
    <w:rsid w:val="00AE7B63"/>
    <w:rsid w:val="00AF035B"/>
    <w:rsid w:val="00AF056A"/>
    <w:rsid w:val="00AF2ACA"/>
    <w:rsid w:val="00AF2E26"/>
    <w:rsid w:val="00AF6203"/>
    <w:rsid w:val="00AF7278"/>
    <w:rsid w:val="00AF7832"/>
    <w:rsid w:val="00B0178C"/>
    <w:rsid w:val="00B01AA1"/>
    <w:rsid w:val="00B01C18"/>
    <w:rsid w:val="00B0297A"/>
    <w:rsid w:val="00B033D4"/>
    <w:rsid w:val="00B04F98"/>
    <w:rsid w:val="00B06052"/>
    <w:rsid w:val="00B07681"/>
    <w:rsid w:val="00B07B2F"/>
    <w:rsid w:val="00B13298"/>
    <w:rsid w:val="00B134BC"/>
    <w:rsid w:val="00B13C78"/>
    <w:rsid w:val="00B15AAB"/>
    <w:rsid w:val="00B17774"/>
    <w:rsid w:val="00B20725"/>
    <w:rsid w:val="00B20CCD"/>
    <w:rsid w:val="00B2142B"/>
    <w:rsid w:val="00B302EC"/>
    <w:rsid w:val="00B30606"/>
    <w:rsid w:val="00B30AD7"/>
    <w:rsid w:val="00B30AFA"/>
    <w:rsid w:val="00B33CD4"/>
    <w:rsid w:val="00B33E03"/>
    <w:rsid w:val="00B34743"/>
    <w:rsid w:val="00B36FC2"/>
    <w:rsid w:val="00B37B0D"/>
    <w:rsid w:val="00B40502"/>
    <w:rsid w:val="00B40AF0"/>
    <w:rsid w:val="00B40E91"/>
    <w:rsid w:val="00B410C8"/>
    <w:rsid w:val="00B4145D"/>
    <w:rsid w:val="00B423D3"/>
    <w:rsid w:val="00B424A1"/>
    <w:rsid w:val="00B42BFF"/>
    <w:rsid w:val="00B4489E"/>
    <w:rsid w:val="00B46AD9"/>
    <w:rsid w:val="00B505BF"/>
    <w:rsid w:val="00B512F2"/>
    <w:rsid w:val="00B51447"/>
    <w:rsid w:val="00B525B4"/>
    <w:rsid w:val="00B53E57"/>
    <w:rsid w:val="00B54052"/>
    <w:rsid w:val="00B54EAF"/>
    <w:rsid w:val="00B54F7C"/>
    <w:rsid w:val="00B608A0"/>
    <w:rsid w:val="00B6096B"/>
    <w:rsid w:val="00B631E4"/>
    <w:rsid w:val="00B6493D"/>
    <w:rsid w:val="00B6592B"/>
    <w:rsid w:val="00B65F46"/>
    <w:rsid w:val="00B6664D"/>
    <w:rsid w:val="00B66C60"/>
    <w:rsid w:val="00B67EFD"/>
    <w:rsid w:val="00B70F61"/>
    <w:rsid w:val="00B722E6"/>
    <w:rsid w:val="00B743CB"/>
    <w:rsid w:val="00B74F53"/>
    <w:rsid w:val="00B75EFC"/>
    <w:rsid w:val="00B76D8D"/>
    <w:rsid w:val="00B7719D"/>
    <w:rsid w:val="00B814B5"/>
    <w:rsid w:val="00B81548"/>
    <w:rsid w:val="00B826A8"/>
    <w:rsid w:val="00B82DD0"/>
    <w:rsid w:val="00B83080"/>
    <w:rsid w:val="00B843F1"/>
    <w:rsid w:val="00B84A8B"/>
    <w:rsid w:val="00B84BC5"/>
    <w:rsid w:val="00B860F0"/>
    <w:rsid w:val="00B86F37"/>
    <w:rsid w:val="00B90A54"/>
    <w:rsid w:val="00B90A70"/>
    <w:rsid w:val="00B9286A"/>
    <w:rsid w:val="00B9459F"/>
    <w:rsid w:val="00B9506B"/>
    <w:rsid w:val="00B97828"/>
    <w:rsid w:val="00B97A2B"/>
    <w:rsid w:val="00BA0665"/>
    <w:rsid w:val="00BA15CE"/>
    <w:rsid w:val="00BA1D7E"/>
    <w:rsid w:val="00BA43D3"/>
    <w:rsid w:val="00BA7DA1"/>
    <w:rsid w:val="00BB1B16"/>
    <w:rsid w:val="00BB3BEA"/>
    <w:rsid w:val="00BB4B67"/>
    <w:rsid w:val="00BB51F7"/>
    <w:rsid w:val="00BB6350"/>
    <w:rsid w:val="00BC018F"/>
    <w:rsid w:val="00BC0892"/>
    <w:rsid w:val="00BC0C75"/>
    <w:rsid w:val="00BC18CA"/>
    <w:rsid w:val="00BC1A19"/>
    <w:rsid w:val="00BC2F4A"/>
    <w:rsid w:val="00BC3898"/>
    <w:rsid w:val="00BC3A04"/>
    <w:rsid w:val="00BC401C"/>
    <w:rsid w:val="00BC5503"/>
    <w:rsid w:val="00BC56AC"/>
    <w:rsid w:val="00BC71FD"/>
    <w:rsid w:val="00BC7F1A"/>
    <w:rsid w:val="00BD097D"/>
    <w:rsid w:val="00BD0C4C"/>
    <w:rsid w:val="00BD22EE"/>
    <w:rsid w:val="00BD40D6"/>
    <w:rsid w:val="00BD5034"/>
    <w:rsid w:val="00BD60A0"/>
    <w:rsid w:val="00BD671A"/>
    <w:rsid w:val="00BD6D26"/>
    <w:rsid w:val="00BE1114"/>
    <w:rsid w:val="00BE11C7"/>
    <w:rsid w:val="00BE1367"/>
    <w:rsid w:val="00BE2114"/>
    <w:rsid w:val="00BE23E0"/>
    <w:rsid w:val="00BE2D4C"/>
    <w:rsid w:val="00BE64E9"/>
    <w:rsid w:val="00BF1D73"/>
    <w:rsid w:val="00BF375E"/>
    <w:rsid w:val="00BF45C4"/>
    <w:rsid w:val="00BF5CE9"/>
    <w:rsid w:val="00C00005"/>
    <w:rsid w:val="00C00C43"/>
    <w:rsid w:val="00C00DF6"/>
    <w:rsid w:val="00C044A8"/>
    <w:rsid w:val="00C04F15"/>
    <w:rsid w:val="00C059BD"/>
    <w:rsid w:val="00C06BED"/>
    <w:rsid w:val="00C10709"/>
    <w:rsid w:val="00C116C6"/>
    <w:rsid w:val="00C14789"/>
    <w:rsid w:val="00C14BA2"/>
    <w:rsid w:val="00C14C0A"/>
    <w:rsid w:val="00C15EC2"/>
    <w:rsid w:val="00C1631E"/>
    <w:rsid w:val="00C16EE9"/>
    <w:rsid w:val="00C16FBE"/>
    <w:rsid w:val="00C17643"/>
    <w:rsid w:val="00C178B9"/>
    <w:rsid w:val="00C17C20"/>
    <w:rsid w:val="00C17E3D"/>
    <w:rsid w:val="00C214D3"/>
    <w:rsid w:val="00C21514"/>
    <w:rsid w:val="00C21AD9"/>
    <w:rsid w:val="00C22968"/>
    <w:rsid w:val="00C252DB"/>
    <w:rsid w:val="00C25A29"/>
    <w:rsid w:val="00C25C1B"/>
    <w:rsid w:val="00C273C2"/>
    <w:rsid w:val="00C277A8"/>
    <w:rsid w:val="00C30BFE"/>
    <w:rsid w:val="00C366D5"/>
    <w:rsid w:val="00C37402"/>
    <w:rsid w:val="00C37739"/>
    <w:rsid w:val="00C41646"/>
    <w:rsid w:val="00C4164F"/>
    <w:rsid w:val="00C43721"/>
    <w:rsid w:val="00C45813"/>
    <w:rsid w:val="00C45995"/>
    <w:rsid w:val="00C45F59"/>
    <w:rsid w:val="00C46748"/>
    <w:rsid w:val="00C46872"/>
    <w:rsid w:val="00C475A1"/>
    <w:rsid w:val="00C47878"/>
    <w:rsid w:val="00C50694"/>
    <w:rsid w:val="00C50F6E"/>
    <w:rsid w:val="00C52893"/>
    <w:rsid w:val="00C55CBD"/>
    <w:rsid w:val="00C56BD0"/>
    <w:rsid w:val="00C5783C"/>
    <w:rsid w:val="00C60F6D"/>
    <w:rsid w:val="00C616D9"/>
    <w:rsid w:val="00C62BD3"/>
    <w:rsid w:val="00C634B4"/>
    <w:rsid w:val="00C64FAD"/>
    <w:rsid w:val="00C657CD"/>
    <w:rsid w:val="00C65AB9"/>
    <w:rsid w:val="00C6736B"/>
    <w:rsid w:val="00C704CA"/>
    <w:rsid w:val="00C70746"/>
    <w:rsid w:val="00C70830"/>
    <w:rsid w:val="00C710E3"/>
    <w:rsid w:val="00C71967"/>
    <w:rsid w:val="00C72B5B"/>
    <w:rsid w:val="00C72EDC"/>
    <w:rsid w:val="00C73822"/>
    <w:rsid w:val="00C76479"/>
    <w:rsid w:val="00C76F84"/>
    <w:rsid w:val="00C7719C"/>
    <w:rsid w:val="00C80076"/>
    <w:rsid w:val="00C804FD"/>
    <w:rsid w:val="00C82807"/>
    <w:rsid w:val="00C830FC"/>
    <w:rsid w:val="00C83153"/>
    <w:rsid w:val="00C847CF"/>
    <w:rsid w:val="00C84C4B"/>
    <w:rsid w:val="00C853F8"/>
    <w:rsid w:val="00C86585"/>
    <w:rsid w:val="00C87255"/>
    <w:rsid w:val="00C907E3"/>
    <w:rsid w:val="00C91AF3"/>
    <w:rsid w:val="00C9351D"/>
    <w:rsid w:val="00C93D28"/>
    <w:rsid w:val="00C9641E"/>
    <w:rsid w:val="00C97439"/>
    <w:rsid w:val="00C97D6C"/>
    <w:rsid w:val="00CA015D"/>
    <w:rsid w:val="00CA05ED"/>
    <w:rsid w:val="00CA28B4"/>
    <w:rsid w:val="00CA2CCB"/>
    <w:rsid w:val="00CA2DEF"/>
    <w:rsid w:val="00CA3EA5"/>
    <w:rsid w:val="00CA52CA"/>
    <w:rsid w:val="00CA73DA"/>
    <w:rsid w:val="00CA7AB3"/>
    <w:rsid w:val="00CA7E5E"/>
    <w:rsid w:val="00CB01B7"/>
    <w:rsid w:val="00CB0592"/>
    <w:rsid w:val="00CB05F0"/>
    <w:rsid w:val="00CB0E51"/>
    <w:rsid w:val="00CB2601"/>
    <w:rsid w:val="00CB31F5"/>
    <w:rsid w:val="00CB5709"/>
    <w:rsid w:val="00CB6654"/>
    <w:rsid w:val="00CB7E68"/>
    <w:rsid w:val="00CC1DF9"/>
    <w:rsid w:val="00CC35E6"/>
    <w:rsid w:val="00CC3772"/>
    <w:rsid w:val="00CC3874"/>
    <w:rsid w:val="00CC3C0E"/>
    <w:rsid w:val="00CC42EC"/>
    <w:rsid w:val="00CC4DCB"/>
    <w:rsid w:val="00CC4F43"/>
    <w:rsid w:val="00CC6791"/>
    <w:rsid w:val="00CC6902"/>
    <w:rsid w:val="00CD0B01"/>
    <w:rsid w:val="00CD0F0C"/>
    <w:rsid w:val="00CD2389"/>
    <w:rsid w:val="00CD2EAA"/>
    <w:rsid w:val="00CD442F"/>
    <w:rsid w:val="00CD463E"/>
    <w:rsid w:val="00CD492E"/>
    <w:rsid w:val="00CD4D5C"/>
    <w:rsid w:val="00CD7068"/>
    <w:rsid w:val="00CD7099"/>
    <w:rsid w:val="00CD7FF6"/>
    <w:rsid w:val="00CE1709"/>
    <w:rsid w:val="00CE1B34"/>
    <w:rsid w:val="00CE2AE0"/>
    <w:rsid w:val="00CE34F4"/>
    <w:rsid w:val="00CE3CD0"/>
    <w:rsid w:val="00CE3EAF"/>
    <w:rsid w:val="00CE4390"/>
    <w:rsid w:val="00CE5019"/>
    <w:rsid w:val="00CE5350"/>
    <w:rsid w:val="00CE5B8F"/>
    <w:rsid w:val="00CE6213"/>
    <w:rsid w:val="00CE79CD"/>
    <w:rsid w:val="00CF09AE"/>
    <w:rsid w:val="00CF186E"/>
    <w:rsid w:val="00CF2674"/>
    <w:rsid w:val="00CF3260"/>
    <w:rsid w:val="00CF3B70"/>
    <w:rsid w:val="00CF55D4"/>
    <w:rsid w:val="00CF634B"/>
    <w:rsid w:val="00D00E40"/>
    <w:rsid w:val="00D01461"/>
    <w:rsid w:val="00D02A9C"/>
    <w:rsid w:val="00D02C35"/>
    <w:rsid w:val="00D02FBB"/>
    <w:rsid w:val="00D0386F"/>
    <w:rsid w:val="00D03946"/>
    <w:rsid w:val="00D04431"/>
    <w:rsid w:val="00D04614"/>
    <w:rsid w:val="00D0507A"/>
    <w:rsid w:val="00D05674"/>
    <w:rsid w:val="00D05CC3"/>
    <w:rsid w:val="00D06F2F"/>
    <w:rsid w:val="00D074E6"/>
    <w:rsid w:val="00D11261"/>
    <w:rsid w:val="00D131E3"/>
    <w:rsid w:val="00D13332"/>
    <w:rsid w:val="00D142A0"/>
    <w:rsid w:val="00D14D10"/>
    <w:rsid w:val="00D15D19"/>
    <w:rsid w:val="00D16074"/>
    <w:rsid w:val="00D17774"/>
    <w:rsid w:val="00D20187"/>
    <w:rsid w:val="00D22262"/>
    <w:rsid w:val="00D2468E"/>
    <w:rsid w:val="00D265D1"/>
    <w:rsid w:val="00D26706"/>
    <w:rsid w:val="00D27B17"/>
    <w:rsid w:val="00D3000E"/>
    <w:rsid w:val="00D30415"/>
    <w:rsid w:val="00D31692"/>
    <w:rsid w:val="00D327A3"/>
    <w:rsid w:val="00D34D01"/>
    <w:rsid w:val="00D37F7A"/>
    <w:rsid w:val="00D40388"/>
    <w:rsid w:val="00D404A9"/>
    <w:rsid w:val="00D41594"/>
    <w:rsid w:val="00D42C89"/>
    <w:rsid w:val="00D45C2F"/>
    <w:rsid w:val="00D5224E"/>
    <w:rsid w:val="00D53496"/>
    <w:rsid w:val="00D53D74"/>
    <w:rsid w:val="00D550CF"/>
    <w:rsid w:val="00D553C1"/>
    <w:rsid w:val="00D55EF9"/>
    <w:rsid w:val="00D55F52"/>
    <w:rsid w:val="00D56705"/>
    <w:rsid w:val="00D60216"/>
    <w:rsid w:val="00D60600"/>
    <w:rsid w:val="00D60D5F"/>
    <w:rsid w:val="00D63192"/>
    <w:rsid w:val="00D643A2"/>
    <w:rsid w:val="00D65B90"/>
    <w:rsid w:val="00D65DDE"/>
    <w:rsid w:val="00D6689B"/>
    <w:rsid w:val="00D66F10"/>
    <w:rsid w:val="00D67377"/>
    <w:rsid w:val="00D67AEE"/>
    <w:rsid w:val="00D70615"/>
    <w:rsid w:val="00D739BA"/>
    <w:rsid w:val="00D756FC"/>
    <w:rsid w:val="00D812D3"/>
    <w:rsid w:val="00D8214E"/>
    <w:rsid w:val="00D83002"/>
    <w:rsid w:val="00D83662"/>
    <w:rsid w:val="00D83740"/>
    <w:rsid w:val="00D83A12"/>
    <w:rsid w:val="00D84BD0"/>
    <w:rsid w:val="00D851CC"/>
    <w:rsid w:val="00D856C3"/>
    <w:rsid w:val="00D90162"/>
    <w:rsid w:val="00D9076A"/>
    <w:rsid w:val="00D910A8"/>
    <w:rsid w:val="00D91920"/>
    <w:rsid w:val="00D919AE"/>
    <w:rsid w:val="00D9474D"/>
    <w:rsid w:val="00D96014"/>
    <w:rsid w:val="00D96482"/>
    <w:rsid w:val="00D964E0"/>
    <w:rsid w:val="00D967FD"/>
    <w:rsid w:val="00D97623"/>
    <w:rsid w:val="00D97972"/>
    <w:rsid w:val="00DA1155"/>
    <w:rsid w:val="00DA1CD5"/>
    <w:rsid w:val="00DA2528"/>
    <w:rsid w:val="00DA30A4"/>
    <w:rsid w:val="00DA39CE"/>
    <w:rsid w:val="00DA3EC9"/>
    <w:rsid w:val="00DA4350"/>
    <w:rsid w:val="00DA4551"/>
    <w:rsid w:val="00DA4E82"/>
    <w:rsid w:val="00DA601B"/>
    <w:rsid w:val="00DA665A"/>
    <w:rsid w:val="00DA758A"/>
    <w:rsid w:val="00DB0A49"/>
    <w:rsid w:val="00DB0B16"/>
    <w:rsid w:val="00DB0E39"/>
    <w:rsid w:val="00DB2304"/>
    <w:rsid w:val="00DB2713"/>
    <w:rsid w:val="00DB3F52"/>
    <w:rsid w:val="00DB546E"/>
    <w:rsid w:val="00DB656A"/>
    <w:rsid w:val="00DB7659"/>
    <w:rsid w:val="00DC11EB"/>
    <w:rsid w:val="00DC1952"/>
    <w:rsid w:val="00DC226B"/>
    <w:rsid w:val="00DC336E"/>
    <w:rsid w:val="00DC3E96"/>
    <w:rsid w:val="00DC4387"/>
    <w:rsid w:val="00DC48FA"/>
    <w:rsid w:val="00DC6128"/>
    <w:rsid w:val="00DC6294"/>
    <w:rsid w:val="00DC763C"/>
    <w:rsid w:val="00DC77D7"/>
    <w:rsid w:val="00DD0896"/>
    <w:rsid w:val="00DD0B0E"/>
    <w:rsid w:val="00DD0B69"/>
    <w:rsid w:val="00DD1043"/>
    <w:rsid w:val="00DD1560"/>
    <w:rsid w:val="00DD17EF"/>
    <w:rsid w:val="00DD2794"/>
    <w:rsid w:val="00DD3F12"/>
    <w:rsid w:val="00DD4A10"/>
    <w:rsid w:val="00DD4F04"/>
    <w:rsid w:val="00DD53DA"/>
    <w:rsid w:val="00DD5A7C"/>
    <w:rsid w:val="00DD5D69"/>
    <w:rsid w:val="00DD7019"/>
    <w:rsid w:val="00DD76F3"/>
    <w:rsid w:val="00DD7885"/>
    <w:rsid w:val="00DD7B06"/>
    <w:rsid w:val="00DD7F39"/>
    <w:rsid w:val="00DE1384"/>
    <w:rsid w:val="00DE213B"/>
    <w:rsid w:val="00DE2ADD"/>
    <w:rsid w:val="00DE3055"/>
    <w:rsid w:val="00DE376D"/>
    <w:rsid w:val="00DE38AF"/>
    <w:rsid w:val="00DE4C90"/>
    <w:rsid w:val="00DE58D3"/>
    <w:rsid w:val="00DE65D0"/>
    <w:rsid w:val="00DE675D"/>
    <w:rsid w:val="00DE7D20"/>
    <w:rsid w:val="00DF0F68"/>
    <w:rsid w:val="00DF1547"/>
    <w:rsid w:val="00DF17FE"/>
    <w:rsid w:val="00DF2EA6"/>
    <w:rsid w:val="00DF3521"/>
    <w:rsid w:val="00DF3866"/>
    <w:rsid w:val="00DF4382"/>
    <w:rsid w:val="00DF449B"/>
    <w:rsid w:val="00DF499F"/>
    <w:rsid w:val="00DF62B3"/>
    <w:rsid w:val="00DF7F55"/>
    <w:rsid w:val="00E012FA"/>
    <w:rsid w:val="00E01322"/>
    <w:rsid w:val="00E015BC"/>
    <w:rsid w:val="00E01611"/>
    <w:rsid w:val="00E019E1"/>
    <w:rsid w:val="00E029AF"/>
    <w:rsid w:val="00E034BD"/>
    <w:rsid w:val="00E039D6"/>
    <w:rsid w:val="00E062D2"/>
    <w:rsid w:val="00E07FDA"/>
    <w:rsid w:val="00E10767"/>
    <w:rsid w:val="00E1124F"/>
    <w:rsid w:val="00E130C8"/>
    <w:rsid w:val="00E138E2"/>
    <w:rsid w:val="00E13A34"/>
    <w:rsid w:val="00E13D44"/>
    <w:rsid w:val="00E14194"/>
    <w:rsid w:val="00E155A9"/>
    <w:rsid w:val="00E17DF1"/>
    <w:rsid w:val="00E20A32"/>
    <w:rsid w:val="00E21595"/>
    <w:rsid w:val="00E21B4A"/>
    <w:rsid w:val="00E22165"/>
    <w:rsid w:val="00E22EB6"/>
    <w:rsid w:val="00E25453"/>
    <w:rsid w:val="00E25824"/>
    <w:rsid w:val="00E26003"/>
    <w:rsid w:val="00E26021"/>
    <w:rsid w:val="00E26F1C"/>
    <w:rsid w:val="00E27575"/>
    <w:rsid w:val="00E276F3"/>
    <w:rsid w:val="00E31041"/>
    <w:rsid w:val="00E31FA0"/>
    <w:rsid w:val="00E32416"/>
    <w:rsid w:val="00E32B81"/>
    <w:rsid w:val="00E32DDC"/>
    <w:rsid w:val="00E33230"/>
    <w:rsid w:val="00E33F38"/>
    <w:rsid w:val="00E3500D"/>
    <w:rsid w:val="00E36A0A"/>
    <w:rsid w:val="00E3740D"/>
    <w:rsid w:val="00E37F75"/>
    <w:rsid w:val="00E40731"/>
    <w:rsid w:val="00E40A1C"/>
    <w:rsid w:val="00E41191"/>
    <w:rsid w:val="00E413B4"/>
    <w:rsid w:val="00E41E57"/>
    <w:rsid w:val="00E425DC"/>
    <w:rsid w:val="00E43FD8"/>
    <w:rsid w:val="00E44847"/>
    <w:rsid w:val="00E45470"/>
    <w:rsid w:val="00E46357"/>
    <w:rsid w:val="00E4685B"/>
    <w:rsid w:val="00E46A1E"/>
    <w:rsid w:val="00E46F03"/>
    <w:rsid w:val="00E50BC0"/>
    <w:rsid w:val="00E51374"/>
    <w:rsid w:val="00E51654"/>
    <w:rsid w:val="00E51FFD"/>
    <w:rsid w:val="00E537EA"/>
    <w:rsid w:val="00E54478"/>
    <w:rsid w:val="00E548CE"/>
    <w:rsid w:val="00E55298"/>
    <w:rsid w:val="00E56043"/>
    <w:rsid w:val="00E5626E"/>
    <w:rsid w:val="00E5795D"/>
    <w:rsid w:val="00E57B4C"/>
    <w:rsid w:val="00E61B66"/>
    <w:rsid w:val="00E645BC"/>
    <w:rsid w:val="00E6500E"/>
    <w:rsid w:val="00E6691D"/>
    <w:rsid w:val="00E670CF"/>
    <w:rsid w:val="00E6751D"/>
    <w:rsid w:val="00E67D50"/>
    <w:rsid w:val="00E70862"/>
    <w:rsid w:val="00E7186C"/>
    <w:rsid w:val="00E72655"/>
    <w:rsid w:val="00E72724"/>
    <w:rsid w:val="00E736C2"/>
    <w:rsid w:val="00E75623"/>
    <w:rsid w:val="00E77CDE"/>
    <w:rsid w:val="00E804D0"/>
    <w:rsid w:val="00E8146F"/>
    <w:rsid w:val="00E8186F"/>
    <w:rsid w:val="00E8196C"/>
    <w:rsid w:val="00E8322E"/>
    <w:rsid w:val="00E8380B"/>
    <w:rsid w:val="00E840F6"/>
    <w:rsid w:val="00E84D15"/>
    <w:rsid w:val="00E856F3"/>
    <w:rsid w:val="00E85E7F"/>
    <w:rsid w:val="00E86563"/>
    <w:rsid w:val="00E86B04"/>
    <w:rsid w:val="00E86D9C"/>
    <w:rsid w:val="00E876D6"/>
    <w:rsid w:val="00E87C30"/>
    <w:rsid w:val="00E9021E"/>
    <w:rsid w:val="00E927A4"/>
    <w:rsid w:val="00E92C16"/>
    <w:rsid w:val="00E946CB"/>
    <w:rsid w:val="00E95CEE"/>
    <w:rsid w:val="00E95DF9"/>
    <w:rsid w:val="00E95E7C"/>
    <w:rsid w:val="00E96700"/>
    <w:rsid w:val="00EA07D6"/>
    <w:rsid w:val="00EA0CBB"/>
    <w:rsid w:val="00EA0EFE"/>
    <w:rsid w:val="00EA19FA"/>
    <w:rsid w:val="00EA22CB"/>
    <w:rsid w:val="00EA4EFA"/>
    <w:rsid w:val="00EA5333"/>
    <w:rsid w:val="00EA6243"/>
    <w:rsid w:val="00EA694F"/>
    <w:rsid w:val="00EA71D7"/>
    <w:rsid w:val="00EA7E4D"/>
    <w:rsid w:val="00EB1184"/>
    <w:rsid w:val="00EB1785"/>
    <w:rsid w:val="00EB2138"/>
    <w:rsid w:val="00EB273B"/>
    <w:rsid w:val="00EB2F9C"/>
    <w:rsid w:val="00EB3736"/>
    <w:rsid w:val="00EB488A"/>
    <w:rsid w:val="00EB4F30"/>
    <w:rsid w:val="00EB715C"/>
    <w:rsid w:val="00EC0196"/>
    <w:rsid w:val="00EC02EA"/>
    <w:rsid w:val="00EC03CC"/>
    <w:rsid w:val="00EC0412"/>
    <w:rsid w:val="00EC0658"/>
    <w:rsid w:val="00EC06AF"/>
    <w:rsid w:val="00EC1325"/>
    <w:rsid w:val="00EC1CAB"/>
    <w:rsid w:val="00EC2C5C"/>
    <w:rsid w:val="00EC35C2"/>
    <w:rsid w:val="00EC3FF6"/>
    <w:rsid w:val="00EC4D10"/>
    <w:rsid w:val="00EC5561"/>
    <w:rsid w:val="00EC5F50"/>
    <w:rsid w:val="00ED23FF"/>
    <w:rsid w:val="00ED255E"/>
    <w:rsid w:val="00ED2F63"/>
    <w:rsid w:val="00ED44F4"/>
    <w:rsid w:val="00ED4683"/>
    <w:rsid w:val="00ED4963"/>
    <w:rsid w:val="00ED4CFB"/>
    <w:rsid w:val="00ED4DE7"/>
    <w:rsid w:val="00ED549F"/>
    <w:rsid w:val="00ED5E2F"/>
    <w:rsid w:val="00ED6B11"/>
    <w:rsid w:val="00ED6BF7"/>
    <w:rsid w:val="00ED7197"/>
    <w:rsid w:val="00EE0A2A"/>
    <w:rsid w:val="00EE3B16"/>
    <w:rsid w:val="00EE5646"/>
    <w:rsid w:val="00EE6E07"/>
    <w:rsid w:val="00EE705A"/>
    <w:rsid w:val="00EE782E"/>
    <w:rsid w:val="00EE7D31"/>
    <w:rsid w:val="00EE7ED8"/>
    <w:rsid w:val="00EF006F"/>
    <w:rsid w:val="00EF0491"/>
    <w:rsid w:val="00EF1240"/>
    <w:rsid w:val="00EF323D"/>
    <w:rsid w:val="00EF437D"/>
    <w:rsid w:val="00EF5535"/>
    <w:rsid w:val="00EF6F11"/>
    <w:rsid w:val="00EF6F9A"/>
    <w:rsid w:val="00F007DE"/>
    <w:rsid w:val="00F024FD"/>
    <w:rsid w:val="00F03D28"/>
    <w:rsid w:val="00F04125"/>
    <w:rsid w:val="00F04720"/>
    <w:rsid w:val="00F06716"/>
    <w:rsid w:val="00F0738F"/>
    <w:rsid w:val="00F074F3"/>
    <w:rsid w:val="00F07AB8"/>
    <w:rsid w:val="00F10BDB"/>
    <w:rsid w:val="00F11072"/>
    <w:rsid w:val="00F11BF1"/>
    <w:rsid w:val="00F148F0"/>
    <w:rsid w:val="00F2085D"/>
    <w:rsid w:val="00F22DAF"/>
    <w:rsid w:val="00F2361C"/>
    <w:rsid w:val="00F23E92"/>
    <w:rsid w:val="00F23FD5"/>
    <w:rsid w:val="00F243D0"/>
    <w:rsid w:val="00F24683"/>
    <w:rsid w:val="00F25A46"/>
    <w:rsid w:val="00F26939"/>
    <w:rsid w:val="00F2745E"/>
    <w:rsid w:val="00F2795E"/>
    <w:rsid w:val="00F310BA"/>
    <w:rsid w:val="00F31654"/>
    <w:rsid w:val="00F3269D"/>
    <w:rsid w:val="00F34365"/>
    <w:rsid w:val="00F34B5C"/>
    <w:rsid w:val="00F3553F"/>
    <w:rsid w:val="00F36688"/>
    <w:rsid w:val="00F4039C"/>
    <w:rsid w:val="00F417FA"/>
    <w:rsid w:val="00F4180D"/>
    <w:rsid w:val="00F41BAB"/>
    <w:rsid w:val="00F42062"/>
    <w:rsid w:val="00F42750"/>
    <w:rsid w:val="00F42C83"/>
    <w:rsid w:val="00F435FE"/>
    <w:rsid w:val="00F43FA6"/>
    <w:rsid w:val="00F44441"/>
    <w:rsid w:val="00F47359"/>
    <w:rsid w:val="00F47958"/>
    <w:rsid w:val="00F50A33"/>
    <w:rsid w:val="00F50A54"/>
    <w:rsid w:val="00F512EF"/>
    <w:rsid w:val="00F5229B"/>
    <w:rsid w:val="00F52A53"/>
    <w:rsid w:val="00F52FE6"/>
    <w:rsid w:val="00F53DD1"/>
    <w:rsid w:val="00F5434D"/>
    <w:rsid w:val="00F5440E"/>
    <w:rsid w:val="00F54C99"/>
    <w:rsid w:val="00F57276"/>
    <w:rsid w:val="00F6421F"/>
    <w:rsid w:val="00F6493F"/>
    <w:rsid w:val="00F64D97"/>
    <w:rsid w:val="00F66A7C"/>
    <w:rsid w:val="00F67723"/>
    <w:rsid w:val="00F71E09"/>
    <w:rsid w:val="00F727C1"/>
    <w:rsid w:val="00F7280D"/>
    <w:rsid w:val="00F72A78"/>
    <w:rsid w:val="00F74545"/>
    <w:rsid w:val="00F74CC2"/>
    <w:rsid w:val="00F76854"/>
    <w:rsid w:val="00F7726F"/>
    <w:rsid w:val="00F81631"/>
    <w:rsid w:val="00F83958"/>
    <w:rsid w:val="00F83C81"/>
    <w:rsid w:val="00F87D4F"/>
    <w:rsid w:val="00F933AF"/>
    <w:rsid w:val="00F956AE"/>
    <w:rsid w:val="00F96619"/>
    <w:rsid w:val="00F97B79"/>
    <w:rsid w:val="00FA10D5"/>
    <w:rsid w:val="00FA1158"/>
    <w:rsid w:val="00FA116E"/>
    <w:rsid w:val="00FA19E0"/>
    <w:rsid w:val="00FA291F"/>
    <w:rsid w:val="00FA553C"/>
    <w:rsid w:val="00FA6B14"/>
    <w:rsid w:val="00FA738E"/>
    <w:rsid w:val="00FA76DC"/>
    <w:rsid w:val="00FA7A4B"/>
    <w:rsid w:val="00FB0F1B"/>
    <w:rsid w:val="00FB116A"/>
    <w:rsid w:val="00FB1825"/>
    <w:rsid w:val="00FB3871"/>
    <w:rsid w:val="00FB420E"/>
    <w:rsid w:val="00FB6E50"/>
    <w:rsid w:val="00FB7713"/>
    <w:rsid w:val="00FC3073"/>
    <w:rsid w:val="00FC31EF"/>
    <w:rsid w:val="00FC3F38"/>
    <w:rsid w:val="00FC5516"/>
    <w:rsid w:val="00FC57FE"/>
    <w:rsid w:val="00FC6EA1"/>
    <w:rsid w:val="00FC6EE1"/>
    <w:rsid w:val="00FC7A1F"/>
    <w:rsid w:val="00FD0CE8"/>
    <w:rsid w:val="00FD0EEA"/>
    <w:rsid w:val="00FD151E"/>
    <w:rsid w:val="00FD2462"/>
    <w:rsid w:val="00FD2FF5"/>
    <w:rsid w:val="00FD3741"/>
    <w:rsid w:val="00FD45FE"/>
    <w:rsid w:val="00FD6EE0"/>
    <w:rsid w:val="00FD74DB"/>
    <w:rsid w:val="00FD774D"/>
    <w:rsid w:val="00FE0F88"/>
    <w:rsid w:val="00FE1ED2"/>
    <w:rsid w:val="00FE305B"/>
    <w:rsid w:val="00FE49D4"/>
    <w:rsid w:val="00FE543E"/>
    <w:rsid w:val="00FE5F03"/>
    <w:rsid w:val="00FE6996"/>
    <w:rsid w:val="00FE784F"/>
    <w:rsid w:val="00FE79AE"/>
    <w:rsid w:val="00FF0737"/>
    <w:rsid w:val="00FF1669"/>
    <w:rsid w:val="00FF1759"/>
    <w:rsid w:val="00FF363C"/>
    <w:rsid w:val="00FF3B67"/>
    <w:rsid w:val="00FF408F"/>
    <w:rsid w:val="00FF419C"/>
    <w:rsid w:val="00FF64A3"/>
    <w:rsid w:val="00FF68F1"/>
    <w:rsid w:val="00FF6B3A"/>
    <w:rsid w:val="00FF70F7"/>
    <w:rsid w:val="00FF7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2A9271"/>
  <w15:docId w15:val="{6862EE60-4676-46CC-8BA7-F8140A67B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693A"/>
    <w:pPr>
      <w:jc w:val="both"/>
    </w:pPr>
    <w:rPr>
      <w:rFonts w:ascii="Arial" w:hAnsi="Arial"/>
      <w:sz w:val="22"/>
      <w:szCs w:val="24"/>
    </w:rPr>
  </w:style>
  <w:style w:type="paragraph" w:styleId="Heading1">
    <w:name w:val="heading 1"/>
    <w:aliases w:val="1. Subhead,B,Cen,Arial 14"/>
    <w:basedOn w:val="Normal"/>
    <w:next w:val="Normal"/>
    <w:qFormat/>
    <w:rsid w:val="00BC7F1A"/>
    <w:pPr>
      <w:keepNext/>
      <w:jc w:val="center"/>
      <w:outlineLvl w:val="0"/>
    </w:pPr>
    <w:rPr>
      <w:b/>
      <w:sz w:val="40"/>
      <w:szCs w:val="20"/>
      <w:u w:val="single"/>
    </w:rPr>
  </w:style>
  <w:style w:type="paragraph" w:styleId="Heading2">
    <w:name w:val="heading 2"/>
    <w:aliases w:val="Heading 2-14 Bold Arial"/>
    <w:basedOn w:val="Normal"/>
    <w:next w:val="Normal"/>
    <w:qFormat/>
    <w:rsid w:val="003F395E"/>
    <w:pPr>
      <w:keepNext/>
      <w:outlineLvl w:val="1"/>
    </w:pPr>
    <w:rPr>
      <w:b/>
      <w:sz w:val="28"/>
      <w:szCs w:val="20"/>
      <w:u w:val="single"/>
    </w:rPr>
  </w:style>
  <w:style w:type="paragraph" w:styleId="Heading3">
    <w:name w:val="heading 3"/>
    <w:basedOn w:val="Normal"/>
    <w:qFormat/>
    <w:rsid w:val="00CC35E6"/>
    <w:pPr>
      <w:keepNext/>
      <w:numPr>
        <w:ilvl w:val="2"/>
        <w:numId w:val="2"/>
      </w:numPr>
      <w:suppressAutoHyphens/>
      <w:spacing w:after="240"/>
      <w:outlineLvl w:val="2"/>
    </w:pPr>
    <w:rPr>
      <w:b/>
      <w:szCs w:val="20"/>
    </w:rPr>
  </w:style>
  <w:style w:type="paragraph" w:styleId="Heading4">
    <w:name w:val="heading 4"/>
    <w:basedOn w:val="Normal"/>
    <w:qFormat/>
    <w:rsid w:val="00CC35E6"/>
    <w:pPr>
      <w:keepNext/>
      <w:numPr>
        <w:ilvl w:val="3"/>
        <w:numId w:val="2"/>
      </w:numPr>
      <w:suppressAutoHyphens/>
      <w:spacing w:after="120"/>
      <w:outlineLvl w:val="3"/>
    </w:pPr>
    <w:rPr>
      <w:b/>
      <w:i/>
      <w:szCs w:val="20"/>
    </w:rPr>
  </w:style>
  <w:style w:type="paragraph" w:styleId="Heading5">
    <w:name w:val="heading 5"/>
    <w:basedOn w:val="Normal"/>
    <w:next w:val="Normal"/>
    <w:qFormat/>
    <w:rsid w:val="002F008D"/>
    <w:pPr>
      <w:keepNext/>
      <w:outlineLvl w:val="4"/>
    </w:pPr>
    <w:rPr>
      <w:b/>
    </w:rPr>
  </w:style>
  <w:style w:type="paragraph" w:styleId="Heading6">
    <w:name w:val="heading 6"/>
    <w:basedOn w:val="Normal"/>
    <w:next w:val="Normal"/>
    <w:qFormat/>
    <w:rsid w:val="007F7171"/>
    <w:pPr>
      <w:keepNext/>
      <w:outlineLvl w:val="5"/>
    </w:pPr>
    <w:rPr>
      <w:b/>
      <w:u w:val="single"/>
    </w:rPr>
  </w:style>
  <w:style w:type="paragraph" w:styleId="Heading7">
    <w:name w:val="heading 7"/>
    <w:basedOn w:val="Normal"/>
    <w:next w:val="Normal"/>
    <w:qFormat/>
    <w:rsid w:val="007F7171"/>
    <w:pPr>
      <w:keepNext/>
      <w:outlineLvl w:val="6"/>
    </w:pPr>
    <w:rPr>
      <w:u w:val="single"/>
    </w:rPr>
  </w:style>
  <w:style w:type="paragraph" w:styleId="Heading8">
    <w:name w:val="heading 8"/>
    <w:basedOn w:val="Normal"/>
    <w:next w:val="Normal"/>
    <w:qFormat/>
    <w:rsid w:val="007F7171"/>
    <w:pPr>
      <w:keepNext/>
      <w:pBdr>
        <w:bottom w:val="single" w:sz="4" w:space="1" w:color="auto"/>
      </w:pBdr>
      <w:jc w:val="center"/>
      <w:outlineLvl w:val="7"/>
    </w:pPr>
    <w:rPr>
      <w:b/>
      <w:sz w:val="40"/>
      <w:szCs w:val="40"/>
    </w:rPr>
  </w:style>
  <w:style w:type="paragraph" w:styleId="Heading9">
    <w:name w:val="heading 9"/>
    <w:basedOn w:val="Normal"/>
    <w:next w:val="Normal"/>
    <w:qFormat/>
    <w:rsid w:val="00E413B4"/>
    <w:pPr>
      <w:keepNext/>
      <w:pBdr>
        <w:bottom w:val="single" w:sz="4" w:space="1" w:color="auto"/>
      </w:pBdr>
      <w:jc w:val="center"/>
      <w:outlineLvl w:val="8"/>
    </w:pPr>
    <w:rPr>
      <w:b/>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
    <w:name w:val="Section"/>
    <w:basedOn w:val="Normal"/>
    <w:next w:val="Normal"/>
    <w:rsid w:val="00CC35E6"/>
    <w:pPr>
      <w:keepNext/>
      <w:spacing w:after="240"/>
      <w:jc w:val="center"/>
    </w:pPr>
    <w:rPr>
      <w:rFonts w:ascii="Arial Black" w:hAnsi="Arial Black"/>
      <w:smallCaps/>
      <w:sz w:val="32"/>
      <w:szCs w:val="20"/>
    </w:rPr>
  </w:style>
  <w:style w:type="paragraph" w:customStyle="1" w:styleId="Box">
    <w:name w:val="Box"/>
    <w:basedOn w:val="Normal"/>
    <w:rsid w:val="00CC35E6"/>
    <w:pPr>
      <w:numPr>
        <w:numId w:val="1"/>
      </w:numPr>
      <w:tabs>
        <w:tab w:val="left" w:pos="-720"/>
      </w:tabs>
      <w:spacing w:after="240"/>
    </w:pPr>
    <w:rPr>
      <w:szCs w:val="20"/>
    </w:rPr>
  </w:style>
  <w:style w:type="character" w:styleId="Hyperlink">
    <w:name w:val="Hyperlink"/>
    <w:uiPriority w:val="99"/>
    <w:rsid w:val="00CC35E6"/>
    <w:rPr>
      <w:color w:val="0000FF"/>
      <w:u w:val="single"/>
    </w:rPr>
  </w:style>
  <w:style w:type="character" w:styleId="CommentReference">
    <w:name w:val="annotation reference"/>
    <w:uiPriority w:val="99"/>
    <w:semiHidden/>
    <w:rsid w:val="00CC35E6"/>
    <w:rPr>
      <w:sz w:val="16"/>
    </w:rPr>
  </w:style>
  <w:style w:type="paragraph" w:customStyle="1" w:styleId="2Bulletedlist-Arial11">
    <w:name w:val="2. Bulleted list - Arial 11"/>
    <w:basedOn w:val="Normal"/>
    <w:qFormat/>
    <w:rsid w:val="00D074E6"/>
    <w:pPr>
      <w:numPr>
        <w:numId w:val="27"/>
      </w:numPr>
      <w:spacing w:line="280" w:lineRule="exact"/>
    </w:pPr>
    <w:rPr>
      <w:rFonts w:cs="Arial"/>
      <w:szCs w:val="22"/>
    </w:rPr>
  </w:style>
  <w:style w:type="paragraph" w:styleId="BalloonText">
    <w:name w:val="Balloon Text"/>
    <w:basedOn w:val="Normal"/>
    <w:semiHidden/>
    <w:rsid w:val="00CC35E6"/>
    <w:rPr>
      <w:rFonts w:ascii="Tahoma" w:hAnsi="Tahoma" w:cs="Tahoma"/>
      <w:sz w:val="16"/>
      <w:szCs w:val="16"/>
    </w:rPr>
  </w:style>
  <w:style w:type="paragraph" w:customStyle="1" w:styleId="BodyText1">
    <w:name w:val="Body Text 1"/>
    <w:basedOn w:val="Normal"/>
    <w:rsid w:val="0000548C"/>
    <w:pPr>
      <w:tabs>
        <w:tab w:val="left" w:pos="720"/>
      </w:tabs>
      <w:spacing w:after="180"/>
    </w:pPr>
    <w:rPr>
      <w:szCs w:val="20"/>
    </w:rPr>
  </w:style>
  <w:style w:type="character" w:styleId="FootnoteReference">
    <w:name w:val="footnote reference"/>
    <w:semiHidden/>
    <w:rsid w:val="0000548C"/>
    <w:rPr>
      <w:vertAlign w:val="superscript"/>
    </w:rPr>
  </w:style>
  <w:style w:type="paragraph" w:styleId="FootnoteText">
    <w:name w:val="footnote text"/>
    <w:basedOn w:val="Normal"/>
    <w:semiHidden/>
    <w:rsid w:val="0000548C"/>
    <w:pPr>
      <w:spacing w:after="120"/>
    </w:pPr>
    <w:rPr>
      <w:i/>
      <w:iCs/>
      <w:sz w:val="18"/>
      <w:szCs w:val="20"/>
    </w:rPr>
  </w:style>
  <w:style w:type="paragraph" w:styleId="Title">
    <w:name w:val="Title"/>
    <w:basedOn w:val="Normal"/>
    <w:qFormat/>
    <w:rsid w:val="0000548C"/>
    <w:pPr>
      <w:spacing w:before="120" w:after="120"/>
      <w:jc w:val="center"/>
    </w:pPr>
    <w:rPr>
      <w:b/>
      <w:kern w:val="28"/>
      <w:szCs w:val="20"/>
    </w:rPr>
  </w:style>
  <w:style w:type="paragraph" w:customStyle="1" w:styleId="Box1">
    <w:name w:val="Box 1"/>
    <w:basedOn w:val="Normal"/>
    <w:rsid w:val="002312A2"/>
    <w:pPr>
      <w:numPr>
        <w:numId w:val="4"/>
      </w:numPr>
      <w:spacing w:after="120"/>
    </w:pPr>
    <w:rPr>
      <w:szCs w:val="20"/>
    </w:rPr>
  </w:style>
  <w:style w:type="paragraph" w:customStyle="1" w:styleId="Box2">
    <w:name w:val="Box 2"/>
    <w:basedOn w:val="Normal"/>
    <w:rsid w:val="002312A2"/>
    <w:pPr>
      <w:numPr>
        <w:numId w:val="3"/>
      </w:numPr>
      <w:suppressAutoHyphens/>
      <w:spacing w:after="120"/>
    </w:pPr>
    <w:rPr>
      <w:szCs w:val="20"/>
    </w:rPr>
  </w:style>
  <w:style w:type="paragraph" w:customStyle="1" w:styleId="BODY-Arial">
    <w:name w:val="BODY-Arial"/>
    <w:aliases w:val="11pt."/>
    <w:basedOn w:val="Normal"/>
    <w:autoRedefine/>
    <w:qFormat/>
    <w:rsid w:val="00E51374"/>
    <w:pPr>
      <w:spacing w:line="280" w:lineRule="exact"/>
    </w:pPr>
    <w:rPr>
      <w:rFonts w:cs="Arial"/>
      <w:szCs w:val="22"/>
    </w:rPr>
  </w:style>
  <w:style w:type="paragraph" w:styleId="BlockText">
    <w:name w:val="Block Text"/>
    <w:basedOn w:val="Normal"/>
    <w:rsid w:val="007F7171"/>
    <w:pPr>
      <w:tabs>
        <w:tab w:val="left" w:pos="540"/>
      </w:tabs>
      <w:ind w:left="180" w:right="184"/>
    </w:pPr>
  </w:style>
  <w:style w:type="paragraph" w:customStyle="1" w:styleId="3Arial11">
    <w:name w:val="3. Arial 11"/>
    <w:aliases w:val="Bold"/>
    <w:basedOn w:val="Normal"/>
    <w:qFormat/>
    <w:rsid w:val="001E6BC7"/>
    <w:rPr>
      <w:rFonts w:cs="Arial"/>
      <w:b/>
      <w:bCs/>
      <w:szCs w:val="22"/>
    </w:rPr>
  </w:style>
  <w:style w:type="paragraph" w:styleId="Header">
    <w:name w:val="header"/>
    <w:basedOn w:val="Normal"/>
    <w:link w:val="HeaderChar"/>
    <w:unhideWhenUsed/>
    <w:rsid w:val="001E6BC7"/>
    <w:pPr>
      <w:tabs>
        <w:tab w:val="center" w:pos="4680"/>
        <w:tab w:val="right" w:pos="9360"/>
      </w:tabs>
    </w:pPr>
  </w:style>
  <w:style w:type="character" w:styleId="PageNumber">
    <w:name w:val="page number"/>
    <w:basedOn w:val="DefaultParagraphFont"/>
    <w:rsid w:val="00E804D0"/>
  </w:style>
  <w:style w:type="paragraph" w:customStyle="1" w:styleId="1BODY-Arial11">
    <w:name w:val="1. BODY-Arial 11"/>
    <w:basedOn w:val="Normal"/>
    <w:autoRedefine/>
    <w:qFormat/>
    <w:rsid w:val="002C2A7D"/>
    <w:pPr>
      <w:keepNext/>
    </w:pPr>
    <w:rPr>
      <w:rFonts w:cs="Arial"/>
      <w:bCs/>
      <w:color w:val="000000" w:themeColor="text1"/>
      <w:szCs w:val="22"/>
    </w:rPr>
  </w:style>
  <w:style w:type="paragraph" w:styleId="DocumentMap">
    <w:name w:val="Document Map"/>
    <w:basedOn w:val="Normal"/>
    <w:semiHidden/>
    <w:rsid w:val="00117231"/>
    <w:pPr>
      <w:shd w:val="clear" w:color="auto" w:fill="000080"/>
    </w:pPr>
    <w:rPr>
      <w:rFonts w:ascii="Tahoma" w:hAnsi="Tahoma" w:cs="Tahoma"/>
      <w:sz w:val="20"/>
      <w:szCs w:val="20"/>
    </w:rPr>
  </w:style>
  <w:style w:type="paragraph" w:customStyle="1" w:styleId="pathname">
    <w:name w:val="pathname"/>
    <w:basedOn w:val="Normal"/>
    <w:rsid w:val="00CB0592"/>
    <w:rPr>
      <w:sz w:val="12"/>
      <w:szCs w:val="20"/>
    </w:rPr>
  </w:style>
  <w:style w:type="table" w:styleId="TableGrid">
    <w:name w:val="Table Grid"/>
    <w:basedOn w:val="TableNormal"/>
    <w:rsid w:val="006454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rsid w:val="00001528"/>
    <w:pPr>
      <w:numPr>
        <w:numId w:val="13"/>
      </w:numPr>
      <w:spacing w:after="240"/>
    </w:pPr>
    <w:rPr>
      <w:szCs w:val="20"/>
    </w:rPr>
  </w:style>
  <w:style w:type="paragraph" w:styleId="ListParagraph">
    <w:name w:val="List Paragraph"/>
    <w:basedOn w:val="Normal"/>
    <w:uiPriority w:val="34"/>
    <w:qFormat/>
    <w:rsid w:val="00076A81"/>
    <w:pPr>
      <w:spacing w:after="200" w:line="276" w:lineRule="auto"/>
      <w:ind w:left="720"/>
      <w:contextualSpacing/>
    </w:pPr>
    <w:rPr>
      <w:rFonts w:ascii="Calibri" w:eastAsia="Calibri" w:hAnsi="Calibri"/>
      <w:szCs w:val="22"/>
    </w:rPr>
  </w:style>
  <w:style w:type="character" w:customStyle="1" w:styleId="HeaderChar">
    <w:name w:val="Header Char"/>
    <w:basedOn w:val="DefaultParagraphFont"/>
    <w:link w:val="Header"/>
    <w:rsid w:val="001E6BC7"/>
    <w:rPr>
      <w:sz w:val="24"/>
      <w:szCs w:val="24"/>
    </w:rPr>
  </w:style>
  <w:style w:type="paragraph" w:styleId="CommentText">
    <w:name w:val="annotation text"/>
    <w:basedOn w:val="Normal"/>
    <w:link w:val="CommentTextChar"/>
    <w:uiPriority w:val="99"/>
    <w:rsid w:val="00CD7FF6"/>
    <w:rPr>
      <w:sz w:val="20"/>
      <w:szCs w:val="20"/>
    </w:rPr>
  </w:style>
  <w:style w:type="character" w:customStyle="1" w:styleId="CommentTextChar">
    <w:name w:val="Comment Text Char"/>
    <w:basedOn w:val="DefaultParagraphFont"/>
    <w:link w:val="CommentText"/>
    <w:uiPriority w:val="99"/>
    <w:rsid w:val="00CD7FF6"/>
  </w:style>
  <w:style w:type="paragraph" w:styleId="CommentSubject">
    <w:name w:val="annotation subject"/>
    <w:basedOn w:val="CommentText"/>
    <w:next w:val="CommentText"/>
    <w:link w:val="CommentSubjectChar"/>
    <w:rsid w:val="00CD7FF6"/>
    <w:rPr>
      <w:b/>
      <w:bCs/>
    </w:rPr>
  </w:style>
  <w:style w:type="character" w:customStyle="1" w:styleId="CommentSubjectChar">
    <w:name w:val="Comment Subject Char"/>
    <w:link w:val="CommentSubject"/>
    <w:rsid w:val="00CD7FF6"/>
    <w:rPr>
      <w:b/>
      <w:bCs/>
    </w:rPr>
  </w:style>
  <w:style w:type="paragraph" w:styleId="Footer">
    <w:name w:val="footer"/>
    <w:basedOn w:val="Normal"/>
    <w:link w:val="FooterChar"/>
    <w:unhideWhenUsed/>
    <w:rsid w:val="001E6BC7"/>
    <w:pPr>
      <w:tabs>
        <w:tab w:val="center" w:pos="4680"/>
        <w:tab w:val="right" w:pos="9360"/>
      </w:tabs>
    </w:pPr>
  </w:style>
  <w:style w:type="paragraph" w:styleId="ListBullet">
    <w:name w:val="List Bullet"/>
    <w:basedOn w:val="Normal"/>
    <w:rsid w:val="00AA2632"/>
    <w:pPr>
      <w:numPr>
        <w:numId w:val="17"/>
      </w:numPr>
      <w:contextualSpacing/>
    </w:pPr>
  </w:style>
  <w:style w:type="character" w:customStyle="1" w:styleId="FooterChar">
    <w:name w:val="Footer Char"/>
    <w:basedOn w:val="DefaultParagraphFont"/>
    <w:link w:val="Footer"/>
    <w:rsid w:val="001E6BC7"/>
    <w:rPr>
      <w:sz w:val="24"/>
      <w:szCs w:val="24"/>
    </w:rPr>
  </w:style>
  <w:style w:type="paragraph" w:styleId="NormalWeb">
    <w:name w:val="Normal (Web)"/>
    <w:basedOn w:val="Normal"/>
    <w:uiPriority w:val="99"/>
    <w:unhideWhenUsed/>
    <w:rsid w:val="00004DBE"/>
    <w:pPr>
      <w:spacing w:before="100" w:beforeAutospacing="1" w:after="100" w:afterAutospacing="1"/>
      <w:ind w:firstLine="480"/>
    </w:pPr>
  </w:style>
  <w:style w:type="character" w:styleId="PlaceholderText">
    <w:name w:val="Placeholder Text"/>
    <w:basedOn w:val="DefaultParagraphFont"/>
    <w:uiPriority w:val="99"/>
    <w:semiHidden/>
    <w:rsid w:val="00DD7F39"/>
    <w:rPr>
      <w:color w:val="808080"/>
    </w:rPr>
  </w:style>
  <w:style w:type="paragraph" w:styleId="Revision">
    <w:name w:val="Revision"/>
    <w:hidden/>
    <w:uiPriority w:val="99"/>
    <w:semiHidden/>
    <w:rsid w:val="00D964E0"/>
    <w:rPr>
      <w:sz w:val="24"/>
      <w:szCs w:val="24"/>
    </w:rPr>
  </w:style>
  <w:style w:type="paragraph" w:styleId="TOC1">
    <w:name w:val="toc 1"/>
    <w:basedOn w:val="Normal"/>
    <w:next w:val="Normal"/>
    <w:autoRedefine/>
    <w:uiPriority w:val="39"/>
    <w:qFormat/>
    <w:rsid w:val="00A0281E"/>
    <w:pPr>
      <w:spacing w:before="120" w:after="120"/>
      <w:jc w:val="left"/>
    </w:pPr>
    <w:rPr>
      <w:rFonts w:asciiTheme="minorHAnsi" w:hAnsiTheme="minorHAnsi" w:cstheme="minorHAnsi"/>
      <w:b/>
      <w:bCs/>
      <w:caps/>
      <w:sz w:val="20"/>
      <w:szCs w:val="20"/>
    </w:rPr>
  </w:style>
  <w:style w:type="paragraph" w:styleId="TOC2">
    <w:name w:val="toc 2"/>
    <w:basedOn w:val="Normal"/>
    <w:next w:val="Normal"/>
    <w:autoRedefine/>
    <w:uiPriority w:val="39"/>
    <w:rsid w:val="006B7635"/>
    <w:pPr>
      <w:tabs>
        <w:tab w:val="right" w:leader="dot" w:pos="9926"/>
      </w:tabs>
      <w:ind w:left="220"/>
      <w:jc w:val="left"/>
    </w:pPr>
    <w:rPr>
      <w:rFonts w:asciiTheme="minorHAnsi" w:hAnsiTheme="minorHAnsi" w:cstheme="minorHAnsi"/>
      <w:smallCaps/>
      <w:sz w:val="20"/>
      <w:szCs w:val="20"/>
    </w:rPr>
  </w:style>
  <w:style w:type="character" w:styleId="UnresolvedMention">
    <w:name w:val="Unresolved Mention"/>
    <w:basedOn w:val="DefaultParagraphFont"/>
    <w:uiPriority w:val="99"/>
    <w:semiHidden/>
    <w:unhideWhenUsed/>
    <w:rsid w:val="00D55EF9"/>
    <w:rPr>
      <w:color w:val="605E5C"/>
      <w:shd w:val="clear" w:color="auto" w:fill="E1DFDD"/>
    </w:rPr>
  </w:style>
  <w:style w:type="character" w:customStyle="1" w:styleId="enumxml">
    <w:name w:val="enumxml"/>
    <w:basedOn w:val="DefaultParagraphFont"/>
    <w:rsid w:val="004B7D8B"/>
  </w:style>
  <w:style w:type="character" w:customStyle="1" w:styleId="file-info">
    <w:name w:val="file-info"/>
    <w:basedOn w:val="DefaultParagraphFont"/>
    <w:rsid w:val="001C6B52"/>
  </w:style>
  <w:style w:type="character" w:styleId="FollowedHyperlink">
    <w:name w:val="FollowedHyperlink"/>
    <w:basedOn w:val="DefaultParagraphFont"/>
    <w:semiHidden/>
    <w:unhideWhenUsed/>
    <w:rsid w:val="00AC2B85"/>
    <w:rPr>
      <w:color w:val="800080" w:themeColor="followedHyperlink"/>
      <w:u w:val="single"/>
    </w:rPr>
  </w:style>
  <w:style w:type="paragraph" w:customStyle="1" w:styleId="5NEWFigureArial9">
    <w:name w:val="5. NEW Figure Arial 9"/>
    <w:aliases w:val="bold,ital"/>
    <w:basedOn w:val="Normal"/>
    <w:qFormat/>
    <w:rsid w:val="006737E4"/>
    <w:pPr>
      <w:spacing w:line="259" w:lineRule="auto"/>
    </w:pPr>
    <w:rPr>
      <w:rFonts w:eastAsiaTheme="minorHAnsi" w:cs="Arial"/>
      <w:b/>
      <w:bCs/>
      <w:i/>
      <w:iCs/>
      <w:color w:val="4472C4"/>
      <w:sz w:val="18"/>
      <w:szCs w:val="18"/>
    </w:rPr>
  </w:style>
  <w:style w:type="paragraph" w:customStyle="1" w:styleId="FigureNumberforundergraphic">
    <w:name w:val="Figure Number for under graphic"/>
    <w:basedOn w:val="5NEWFigureArial9"/>
    <w:qFormat/>
    <w:rsid w:val="006737E4"/>
    <w:pPr>
      <w:ind w:firstLine="720"/>
    </w:pPr>
  </w:style>
  <w:style w:type="paragraph" w:styleId="TOCHeading">
    <w:name w:val="TOC Heading"/>
    <w:basedOn w:val="Heading1"/>
    <w:next w:val="Normal"/>
    <w:uiPriority w:val="39"/>
    <w:unhideWhenUsed/>
    <w:qFormat/>
    <w:rsid w:val="00843D6F"/>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u w:val="none"/>
    </w:rPr>
  </w:style>
  <w:style w:type="paragraph" w:styleId="TOC3">
    <w:name w:val="toc 3"/>
    <w:basedOn w:val="Normal"/>
    <w:next w:val="Normal"/>
    <w:autoRedefine/>
    <w:unhideWhenUsed/>
    <w:rsid w:val="00843D6F"/>
    <w:pPr>
      <w:ind w:left="440"/>
      <w:jc w:val="left"/>
    </w:pPr>
    <w:rPr>
      <w:rFonts w:asciiTheme="minorHAnsi" w:hAnsiTheme="minorHAnsi" w:cstheme="minorHAnsi"/>
      <w:i/>
      <w:iCs/>
      <w:sz w:val="20"/>
      <w:szCs w:val="20"/>
    </w:rPr>
  </w:style>
  <w:style w:type="paragraph" w:styleId="TOC4">
    <w:name w:val="toc 4"/>
    <w:basedOn w:val="Normal"/>
    <w:next w:val="Normal"/>
    <w:autoRedefine/>
    <w:unhideWhenUsed/>
    <w:rsid w:val="00843D6F"/>
    <w:pPr>
      <w:ind w:left="660"/>
      <w:jc w:val="left"/>
    </w:pPr>
    <w:rPr>
      <w:rFonts w:asciiTheme="minorHAnsi" w:hAnsiTheme="minorHAnsi" w:cstheme="minorHAnsi"/>
      <w:sz w:val="18"/>
      <w:szCs w:val="18"/>
    </w:rPr>
  </w:style>
  <w:style w:type="paragraph" w:styleId="TOC5">
    <w:name w:val="toc 5"/>
    <w:basedOn w:val="Normal"/>
    <w:next w:val="Normal"/>
    <w:autoRedefine/>
    <w:unhideWhenUsed/>
    <w:rsid w:val="00843D6F"/>
    <w:pPr>
      <w:ind w:left="880"/>
      <w:jc w:val="left"/>
    </w:pPr>
    <w:rPr>
      <w:rFonts w:asciiTheme="minorHAnsi" w:hAnsiTheme="minorHAnsi" w:cstheme="minorHAnsi"/>
      <w:sz w:val="18"/>
      <w:szCs w:val="18"/>
    </w:rPr>
  </w:style>
  <w:style w:type="paragraph" w:styleId="TOC6">
    <w:name w:val="toc 6"/>
    <w:basedOn w:val="Normal"/>
    <w:next w:val="Normal"/>
    <w:autoRedefine/>
    <w:unhideWhenUsed/>
    <w:rsid w:val="00843D6F"/>
    <w:pPr>
      <w:ind w:left="1100"/>
      <w:jc w:val="left"/>
    </w:pPr>
    <w:rPr>
      <w:rFonts w:asciiTheme="minorHAnsi" w:hAnsiTheme="minorHAnsi" w:cstheme="minorHAnsi"/>
      <w:sz w:val="18"/>
      <w:szCs w:val="18"/>
    </w:rPr>
  </w:style>
  <w:style w:type="paragraph" w:styleId="TOC7">
    <w:name w:val="toc 7"/>
    <w:basedOn w:val="Normal"/>
    <w:next w:val="Normal"/>
    <w:autoRedefine/>
    <w:unhideWhenUsed/>
    <w:rsid w:val="00843D6F"/>
    <w:pPr>
      <w:ind w:left="1320"/>
      <w:jc w:val="left"/>
    </w:pPr>
    <w:rPr>
      <w:rFonts w:asciiTheme="minorHAnsi" w:hAnsiTheme="minorHAnsi" w:cstheme="minorHAnsi"/>
      <w:sz w:val="18"/>
      <w:szCs w:val="18"/>
    </w:rPr>
  </w:style>
  <w:style w:type="paragraph" w:styleId="TOC8">
    <w:name w:val="toc 8"/>
    <w:basedOn w:val="Normal"/>
    <w:next w:val="Normal"/>
    <w:autoRedefine/>
    <w:unhideWhenUsed/>
    <w:rsid w:val="00843D6F"/>
    <w:pPr>
      <w:ind w:left="1540"/>
      <w:jc w:val="left"/>
    </w:pPr>
    <w:rPr>
      <w:rFonts w:asciiTheme="minorHAnsi" w:hAnsiTheme="minorHAnsi" w:cstheme="minorHAnsi"/>
      <w:sz w:val="18"/>
      <w:szCs w:val="18"/>
    </w:rPr>
  </w:style>
  <w:style w:type="paragraph" w:styleId="TOC9">
    <w:name w:val="toc 9"/>
    <w:basedOn w:val="Normal"/>
    <w:next w:val="Normal"/>
    <w:autoRedefine/>
    <w:unhideWhenUsed/>
    <w:rsid w:val="00843D6F"/>
    <w:pPr>
      <w:ind w:left="1760"/>
      <w:jc w:val="left"/>
    </w:pPr>
    <w:rPr>
      <w:rFonts w:asciiTheme="minorHAnsi" w:hAnsiTheme="minorHAnsi" w:cstheme="minorHAnsi"/>
      <w:sz w:val="18"/>
      <w:szCs w:val="18"/>
    </w:rPr>
  </w:style>
  <w:style w:type="paragraph" w:customStyle="1" w:styleId="Default">
    <w:name w:val="Default"/>
    <w:rsid w:val="00403498"/>
    <w:pPr>
      <w:autoSpaceDE w:val="0"/>
      <w:autoSpaceDN w:val="0"/>
      <w:adjustRightInd w:val="0"/>
    </w:pPr>
    <w:rPr>
      <w:rFonts w:ascii="Arial" w:hAnsi="Arial" w:cs="Arial"/>
      <w:color w:val="000000"/>
      <w:sz w:val="24"/>
      <w:szCs w:val="24"/>
    </w:rPr>
  </w:style>
  <w:style w:type="paragraph" w:customStyle="1" w:styleId="4ArialBold14">
    <w:name w:val="4. Arial Bold 14"/>
    <w:basedOn w:val="Heading2"/>
    <w:qFormat/>
    <w:rsid w:val="002E50BF"/>
  </w:style>
  <w:style w:type="character" w:customStyle="1" w:styleId="ui-provider">
    <w:name w:val="ui-provider"/>
    <w:basedOn w:val="DefaultParagraphFont"/>
    <w:rsid w:val="009113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3322075">
      <w:bodyDiv w:val="1"/>
      <w:marLeft w:val="0"/>
      <w:marRight w:val="0"/>
      <w:marTop w:val="0"/>
      <w:marBottom w:val="0"/>
      <w:divBdr>
        <w:top w:val="none" w:sz="0" w:space="0" w:color="auto"/>
        <w:left w:val="none" w:sz="0" w:space="0" w:color="auto"/>
        <w:bottom w:val="none" w:sz="0" w:space="0" w:color="auto"/>
        <w:right w:val="none" w:sz="0" w:space="0" w:color="auto"/>
      </w:divBdr>
    </w:div>
    <w:div w:id="186606208">
      <w:bodyDiv w:val="1"/>
      <w:marLeft w:val="0"/>
      <w:marRight w:val="0"/>
      <w:marTop w:val="30"/>
      <w:marBottom w:val="750"/>
      <w:divBdr>
        <w:top w:val="none" w:sz="0" w:space="0" w:color="auto"/>
        <w:left w:val="none" w:sz="0" w:space="0" w:color="auto"/>
        <w:bottom w:val="none" w:sz="0" w:space="0" w:color="auto"/>
        <w:right w:val="none" w:sz="0" w:space="0" w:color="auto"/>
      </w:divBdr>
      <w:divsChild>
        <w:div w:id="961182909">
          <w:marLeft w:val="0"/>
          <w:marRight w:val="0"/>
          <w:marTop w:val="0"/>
          <w:marBottom w:val="0"/>
          <w:divBdr>
            <w:top w:val="none" w:sz="0" w:space="0" w:color="auto"/>
            <w:left w:val="none" w:sz="0" w:space="0" w:color="auto"/>
            <w:bottom w:val="none" w:sz="0" w:space="0" w:color="auto"/>
            <w:right w:val="none" w:sz="0" w:space="0" w:color="auto"/>
          </w:divBdr>
        </w:div>
      </w:divsChild>
    </w:div>
    <w:div w:id="207886937">
      <w:bodyDiv w:val="1"/>
      <w:marLeft w:val="0"/>
      <w:marRight w:val="0"/>
      <w:marTop w:val="30"/>
      <w:marBottom w:val="750"/>
      <w:divBdr>
        <w:top w:val="none" w:sz="0" w:space="0" w:color="auto"/>
        <w:left w:val="none" w:sz="0" w:space="0" w:color="auto"/>
        <w:bottom w:val="none" w:sz="0" w:space="0" w:color="auto"/>
        <w:right w:val="none" w:sz="0" w:space="0" w:color="auto"/>
      </w:divBdr>
      <w:divsChild>
        <w:div w:id="1321808456">
          <w:marLeft w:val="0"/>
          <w:marRight w:val="0"/>
          <w:marTop w:val="0"/>
          <w:marBottom w:val="0"/>
          <w:divBdr>
            <w:top w:val="none" w:sz="0" w:space="0" w:color="auto"/>
            <w:left w:val="none" w:sz="0" w:space="0" w:color="auto"/>
            <w:bottom w:val="none" w:sz="0" w:space="0" w:color="auto"/>
            <w:right w:val="none" w:sz="0" w:space="0" w:color="auto"/>
          </w:divBdr>
        </w:div>
      </w:divsChild>
    </w:div>
    <w:div w:id="240525511">
      <w:bodyDiv w:val="1"/>
      <w:marLeft w:val="0"/>
      <w:marRight w:val="0"/>
      <w:marTop w:val="0"/>
      <w:marBottom w:val="0"/>
      <w:divBdr>
        <w:top w:val="none" w:sz="0" w:space="0" w:color="auto"/>
        <w:left w:val="none" w:sz="0" w:space="0" w:color="auto"/>
        <w:bottom w:val="none" w:sz="0" w:space="0" w:color="auto"/>
        <w:right w:val="none" w:sz="0" w:space="0" w:color="auto"/>
      </w:divBdr>
      <w:divsChild>
        <w:div w:id="1160147706">
          <w:marLeft w:val="0"/>
          <w:marRight w:val="0"/>
          <w:marTop w:val="0"/>
          <w:marBottom w:val="0"/>
          <w:divBdr>
            <w:top w:val="none" w:sz="0" w:space="0" w:color="auto"/>
            <w:left w:val="none" w:sz="0" w:space="0" w:color="auto"/>
            <w:bottom w:val="none" w:sz="0" w:space="0" w:color="auto"/>
            <w:right w:val="none" w:sz="0" w:space="0" w:color="auto"/>
          </w:divBdr>
          <w:divsChild>
            <w:div w:id="434600423">
              <w:marLeft w:val="0"/>
              <w:marRight w:val="0"/>
              <w:marTop w:val="0"/>
              <w:marBottom w:val="0"/>
              <w:divBdr>
                <w:top w:val="none" w:sz="0" w:space="0" w:color="auto"/>
                <w:left w:val="none" w:sz="0" w:space="0" w:color="auto"/>
                <w:bottom w:val="none" w:sz="0" w:space="0" w:color="auto"/>
                <w:right w:val="none" w:sz="0" w:space="0" w:color="auto"/>
              </w:divBdr>
              <w:divsChild>
                <w:div w:id="147567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839967">
      <w:bodyDiv w:val="1"/>
      <w:marLeft w:val="0"/>
      <w:marRight w:val="0"/>
      <w:marTop w:val="0"/>
      <w:marBottom w:val="0"/>
      <w:divBdr>
        <w:top w:val="none" w:sz="0" w:space="0" w:color="auto"/>
        <w:left w:val="none" w:sz="0" w:space="0" w:color="auto"/>
        <w:bottom w:val="none" w:sz="0" w:space="0" w:color="auto"/>
        <w:right w:val="none" w:sz="0" w:space="0" w:color="auto"/>
      </w:divBdr>
    </w:div>
    <w:div w:id="373624550">
      <w:bodyDiv w:val="1"/>
      <w:marLeft w:val="0"/>
      <w:marRight w:val="0"/>
      <w:marTop w:val="0"/>
      <w:marBottom w:val="0"/>
      <w:divBdr>
        <w:top w:val="none" w:sz="0" w:space="0" w:color="auto"/>
        <w:left w:val="none" w:sz="0" w:space="0" w:color="auto"/>
        <w:bottom w:val="none" w:sz="0" w:space="0" w:color="auto"/>
        <w:right w:val="none" w:sz="0" w:space="0" w:color="auto"/>
      </w:divBdr>
    </w:div>
    <w:div w:id="554585283">
      <w:bodyDiv w:val="1"/>
      <w:marLeft w:val="0"/>
      <w:marRight w:val="0"/>
      <w:marTop w:val="0"/>
      <w:marBottom w:val="0"/>
      <w:divBdr>
        <w:top w:val="none" w:sz="0" w:space="0" w:color="auto"/>
        <w:left w:val="none" w:sz="0" w:space="0" w:color="auto"/>
        <w:bottom w:val="none" w:sz="0" w:space="0" w:color="auto"/>
        <w:right w:val="none" w:sz="0" w:space="0" w:color="auto"/>
      </w:divBdr>
    </w:div>
    <w:div w:id="709451873">
      <w:bodyDiv w:val="1"/>
      <w:marLeft w:val="0"/>
      <w:marRight w:val="0"/>
      <w:marTop w:val="0"/>
      <w:marBottom w:val="0"/>
      <w:divBdr>
        <w:top w:val="none" w:sz="0" w:space="0" w:color="auto"/>
        <w:left w:val="none" w:sz="0" w:space="0" w:color="auto"/>
        <w:bottom w:val="none" w:sz="0" w:space="0" w:color="auto"/>
        <w:right w:val="none" w:sz="0" w:space="0" w:color="auto"/>
      </w:divBdr>
    </w:div>
    <w:div w:id="710570905">
      <w:bodyDiv w:val="1"/>
      <w:marLeft w:val="0"/>
      <w:marRight w:val="0"/>
      <w:marTop w:val="0"/>
      <w:marBottom w:val="0"/>
      <w:divBdr>
        <w:top w:val="none" w:sz="0" w:space="0" w:color="auto"/>
        <w:left w:val="none" w:sz="0" w:space="0" w:color="auto"/>
        <w:bottom w:val="none" w:sz="0" w:space="0" w:color="auto"/>
        <w:right w:val="none" w:sz="0" w:space="0" w:color="auto"/>
      </w:divBdr>
    </w:div>
    <w:div w:id="786781694">
      <w:bodyDiv w:val="1"/>
      <w:marLeft w:val="0"/>
      <w:marRight w:val="0"/>
      <w:marTop w:val="0"/>
      <w:marBottom w:val="0"/>
      <w:divBdr>
        <w:top w:val="none" w:sz="0" w:space="0" w:color="auto"/>
        <w:left w:val="none" w:sz="0" w:space="0" w:color="auto"/>
        <w:bottom w:val="none" w:sz="0" w:space="0" w:color="auto"/>
        <w:right w:val="none" w:sz="0" w:space="0" w:color="auto"/>
      </w:divBdr>
    </w:div>
    <w:div w:id="833106550">
      <w:bodyDiv w:val="1"/>
      <w:marLeft w:val="0"/>
      <w:marRight w:val="0"/>
      <w:marTop w:val="0"/>
      <w:marBottom w:val="0"/>
      <w:divBdr>
        <w:top w:val="none" w:sz="0" w:space="0" w:color="auto"/>
        <w:left w:val="none" w:sz="0" w:space="0" w:color="auto"/>
        <w:bottom w:val="none" w:sz="0" w:space="0" w:color="auto"/>
        <w:right w:val="none" w:sz="0" w:space="0" w:color="auto"/>
      </w:divBdr>
    </w:div>
    <w:div w:id="940456049">
      <w:bodyDiv w:val="1"/>
      <w:marLeft w:val="0"/>
      <w:marRight w:val="0"/>
      <w:marTop w:val="0"/>
      <w:marBottom w:val="0"/>
      <w:divBdr>
        <w:top w:val="none" w:sz="0" w:space="0" w:color="auto"/>
        <w:left w:val="none" w:sz="0" w:space="0" w:color="auto"/>
        <w:bottom w:val="none" w:sz="0" w:space="0" w:color="auto"/>
        <w:right w:val="none" w:sz="0" w:space="0" w:color="auto"/>
      </w:divBdr>
    </w:div>
    <w:div w:id="1010107964">
      <w:bodyDiv w:val="1"/>
      <w:marLeft w:val="0"/>
      <w:marRight w:val="0"/>
      <w:marTop w:val="0"/>
      <w:marBottom w:val="0"/>
      <w:divBdr>
        <w:top w:val="none" w:sz="0" w:space="0" w:color="auto"/>
        <w:left w:val="none" w:sz="0" w:space="0" w:color="auto"/>
        <w:bottom w:val="none" w:sz="0" w:space="0" w:color="auto"/>
        <w:right w:val="none" w:sz="0" w:space="0" w:color="auto"/>
      </w:divBdr>
    </w:div>
    <w:div w:id="1229001593">
      <w:bodyDiv w:val="1"/>
      <w:marLeft w:val="0"/>
      <w:marRight w:val="0"/>
      <w:marTop w:val="0"/>
      <w:marBottom w:val="0"/>
      <w:divBdr>
        <w:top w:val="none" w:sz="0" w:space="0" w:color="auto"/>
        <w:left w:val="none" w:sz="0" w:space="0" w:color="auto"/>
        <w:bottom w:val="none" w:sz="0" w:space="0" w:color="auto"/>
        <w:right w:val="none" w:sz="0" w:space="0" w:color="auto"/>
      </w:divBdr>
    </w:div>
    <w:div w:id="1237786203">
      <w:bodyDiv w:val="1"/>
      <w:marLeft w:val="0"/>
      <w:marRight w:val="0"/>
      <w:marTop w:val="0"/>
      <w:marBottom w:val="0"/>
      <w:divBdr>
        <w:top w:val="none" w:sz="0" w:space="0" w:color="auto"/>
        <w:left w:val="none" w:sz="0" w:space="0" w:color="auto"/>
        <w:bottom w:val="none" w:sz="0" w:space="0" w:color="auto"/>
        <w:right w:val="none" w:sz="0" w:space="0" w:color="auto"/>
      </w:divBdr>
    </w:div>
    <w:div w:id="1237931746">
      <w:bodyDiv w:val="1"/>
      <w:marLeft w:val="0"/>
      <w:marRight w:val="0"/>
      <w:marTop w:val="30"/>
      <w:marBottom w:val="750"/>
      <w:divBdr>
        <w:top w:val="none" w:sz="0" w:space="0" w:color="auto"/>
        <w:left w:val="none" w:sz="0" w:space="0" w:color="auto"/>
        <w:bottom w:val="none" w:sz="0" w:space="0" w:color="auto"/>
        <w:right w:val="none" w:sz="0" w:space="0" w:color="auto"/>
      </w:divBdr>
      <w:divsChild>
        <w:div w:id="198132636">
          <w:marLeft w:val="0"/>
          <w:marRight w:val="0"/>
          <w:marTop w:val="0"/>
          <w:marBottom w:val="0"/>
          <w:divBdr>
            <w:top w:val="none" w:sz="0" w:space="0" w:color="auto"/>
            <w:left w:val="none" w:sz="0" w:space="0" w:color="auto"/>
            <w:bottom w:val="none" w:sz="0" w:space="0" w:color="auto"/>
            <w:right w:val="none" w:sz="0" w:space="0" w:color="auto"/>
          </w:divBdr>
        </w:div>
      </w:divsChild>
    </w:div>
    <w:div w:id="1255554975">
      <w:bodyDiv w:val="1"/>
      <w:marLeft w:val="0"/>
      <w:marRight w:val="0"/>
      <w:marTop w:val="0"/>
      <w:marBottom w:val="0"/>
      <w:divBdr>
        <w:top w:val="none" w:sz="0" w:space="0" w:color="auto"/>
        <w:left w:val="none" w:sz="0" w:space="0" w:color="auto"/>
        <w:bottom w:val="none" w:sz="0" w:space="0" w:color="auto"/>
        <w:right w:val="none" w:sz="0" w:space="0" w:color="auto"/>
      </w:divBdr>
    </w:div>
    <w:div w:id="1482431308">
      <w:bodyDiv w:val="1"/>
      <w:marLeft w:val="0"/>
      <w:marRight w:val="0"/>
      <w:marTop w:val="0"/>
      <w:marBottom w:val="0"/>
      <w:divBdr>
        <w:top w:val="none" w:sz="0" w:space="0" w:color="auto"/>
        <w:left w:val="none" w:sz="0" w:space="0" w:color="auto"/>
        <w:bottom w:val="none" w:sz="0" w:space="0" w:color="auto"/>
        <w:right w:val="none" w:sz="0" w:space="0" w:color="auto"/>
      </w:divBdr>
      <w:divsChild>
        <w:div w:id="929704878">
          <w:marLeft w:val="0"/>
          <w:marRight w:val="0"/>
          <w:marTop w:val="0"/>
          <w:marBottom w:val="0"/>
          <w:divBdr>
            <w:top w:val="none" w:sz="0" w:space="0" w:color="auto"/>
            <w:left w:val="none" w:sz="0" w:space="0" w:color="auto"/>
            <w:bottom w:val="none" w:sz="0" w:space="0" w:color="auto"/>
            <w:right w:val="none" w:sz="0" w:space="0" w:color="auto"/>
          </w:divBdr>
          <w:divsChild>
            <w:div w:id="1957517987">
              <w:marLeft w:val="0"/>
              <w:marRight w:val="0"/>
              <w:marTop w:val="0"/>
              <w:marBottom w:val="0"/>
              <w:divBdr>
                <w:top w:val="none" w:sz="0" w:space="0" w:color="auto"/>
                <w:left w:val="none" w:sz="0" w:space="0" w:color="auto"/>
                <w:bottom w:val="none" w:sz="0" w:space="0" w:color="auto"/>
                <w:right w:val="none" w:sz="0" w:space="0" w:color="auto"/>
              </w:divBdr>
              <w:divsChild>
                <w:div w:id="211486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599615">
      <w:bodyDiv w:val="1"/>
      <w:marLeft w:val="0"/>
      <w:marRight w:val="0"/>
      <w:marTop w:val="0"/>
      <w:marBottom w:val="0"/>
      <w:divBdr>
        <w:top w:val="none" w:sz="0" w:space="0" w:color="auto"/>
        <w:left w:val="none" w:sz="0" w:space="0" w:color="auto"/>
        <w:bottom w:val="none" w:sz="0" w:space="0" w:color="auto"/>
        <w:right w:val="none" w:sz="0" w:space="0" w:color="auto"/>
      </w:divBdr>
    </w:div>
    <w:div w:id="1539588176">
      <w:bodyDiv w:val="1"/>
      <w:marLeft w:val="0"/>
      <w:marRight w:val="0"/>
      <w:marTop w:val="0"/>
      <w:marBottom w:val="0"/>
      <w:divBdr>
        <w:top w:val="none" w:sz="0" w:space="0" w:color="auto"/>
        <w:left w:val="none" w:sz="0" w:space="0" w:color="auto"/>
        <w:bottom w:val="none" w:sz="0" w:space="0" w:color="auto"/>
        <w:right w:val="none" w:sz="0" w:space="0" w:color="auto"/>
      </w:divBdr>
    </w:div>
    <w:div w:id="1559315911">
      <w:bodyDiv w:val="1"/>
      <w:marLeft w:val="0"/>
      <w:marRight w:val="0"/>
      <w:marTop w:val="0"/>
      <w:marBottom w:val="0"/>
      <w:divBdr>
        <w:top w:val="none" w:sz="0" w:space="0" w:color="auto"/>
        <w:left w:val="none" w:sz="0" w:space="0" w:color="auto"/>
        <w:bottom w:val="none" w:sz="0" w:space="0" w:color="auto"/>
        <w:right w:val="none" w:sz="0" w:space="0" w:color="auto"/>
      </w:divBdr>
    </w:div>
    <w:div w:id="1886136826">
      <w:bodyDiv w:val="1"/>
      <w:marLeft w:val="0"/>
      <w:marRight w:val="0"/>
      <w:marTop w:val="0"/>
      <w:marBottom w:val="0"/>
      <w:divBdr>
        <w:top w:val="none" w:sz="0" w:space="0" w:color="auto"/>
        <w:left w:val="none" w:sz="0" w:space="0" w:color="auto"/>
        <w:bottom w:val="none" w:sz="0" w:space="0" w:color="auto"/>
        <w:right w:val="none" w:sz="0" w:space="0" w:color="auto"/>
      </w:divBdr>
    </w:div>
    <w:div w:id="1946382144">
      <w:bodyDiv w:val="1"/>
      <w:marLeft w:val="0"/>
      <w:marRight w:val="0"/>
      <w:marTop w:val="0"/>
      <w:marBottom w:val="0"/>
      <w:divBdr>
        <w:top w:val="none" w:sz="0" w:space="0" w:color="auto"/>
        <w:left w:val="none" w:sz="0" w:space="0" w:color="auto"/>
        <w:bottom w:val="none" w:sz="0" w:space="0" w:color="auto"/>
        <w:right w:val="none" w:sz="0" w:space="0" w:color="auto"/>
      </w:divBdr>
    </w:div>
    <w:div w:id="1963489752">
      <w:bodyDiv w:val="1"/>
      <w:marLeft w:val="0"/>
      <w:marRight w:val="0"/>
      <w:marTop w:val="0"/>
      <w:marBottom w:val="0"/>
      <w:divBdr>
        <w:top w:val="none" w:sz="0" w:space="0" w:color="auto"/>
        <w:left w:val="none" w:sz="0" w:space="0" w:color="auto"/>
        <w:bottom w:val="none" w:sz="0" w:space="0" w:color="auto"/>
        <w:right w:val="none" w:sz="0" w:space="0" w:color="auto"/>
      </w:divBdr>
    </w:div>
    <w:div w:id="2048024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exasagriculture.gov/Grants-Services/Rural-Economic-Development/Rural-Community-Development-Block-Grant-CDBG/Forms"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texasagriculture.gov/Grants-Services/Rural-Economic-Development/Rural-Community-Development-Block-Grant-CDBG/Form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DBGReporting@TexasAgriculture.gov" TargetMode="External"/><Relationship Id="rId5" Type="http://schemas.openxmlformats.org/officeDocument/2006/relationships/numbering" Target="numbering.xml"/><Relationship Id="rId15" Type="http://schemas.openxmlformats.org/officeDocument/2006/relationships/hyperlink" Target="https://www.texasagriculture.gov/Grants-Services/Rural-Economic-Development/Rural-Community-Development-Block-Grant-CDBG/Form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exasagriculture.gov/Grants-Services/Rural-Economic-Development/Rural-Community-Development-Block-Grant-CDBG/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FD70569911AA43A6BFF25E32FDADE6" ma:contentTypeVersion="4" ma:contentTypeDescription="Create a new document." ma:contentTypeScope="" ma:versionID="a3fea5c22dc4dfd45d2a022dacf54164">
  <xsd:schema xmlns:xsd="http://www.w3.org/2001/XMLSchema" xmlns:xs="http://www.w3.org/2001/XMLSchema" xmlns:p="http://schemas.microsoft.com/office/2006/metadata/properties" xmlns:ns2="8a457650-a1b7-4a6d-8991-d567f91c4f97" targetNamespace="http://schemas.microsoft.com/office/2006/metadata/properties" ma:root="true" ma:fieldsID="1395c3e878a66329b9c4890e1febd944" ns2:_="">
    <xsd:import namespace="8a457650-a1b7-4a6d-8991-d567f91c4f9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457650-a1b7-4a6d-8991-d567f91c4f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E9970-211F-46F9-AB57-C1535465F2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457650-a1b7-4a6d-8991-d567f91c4f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D99749-43A6-4410-9190-293FB4A77103}">
  <ds:schemaRefs>
    <ds:schemaRef ds:uri="http://schemas.microsoft.com/sharepoint/v3/contenttype/forms"/>
  </ds:schemaRefs>
</ds:datastoreItem>
</file>

<file path=customXml/itemProps3.xml><?xml version="1.0" encoding="utf-8"?>
<ds:datastoreItem xmlns:ds="http://schemas.openxmlformats.org/officeDocument/2006/customXml" ds:itemID="{2FE127CF-1D67-41C9-B3E4-886CE556246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4086582-E453-428F-A270-0DC9F8B10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13</Pages>
  <Words>5409</Words>
  <Characters>33326</Characters>
  <Application>Microsoft Office Word</Application>
  <DocSecurity>0</DocSecurity>
  <Lines>925</Lines>
  <Paragraphs>395</Paragraphs>
  <ScaleCrop>false</ScaleCrop>
  <HeadingPairs>
    <vt:vector size="2" baseType="variant">
      <vt:variant>
        <vt:lpstr>Title</vt:lpstr>
      </vt:variant>
      <vt:variant>
        <vt:i4>1</vt:i4>
      </vt:variant>
    </vt:vector>
  </HeadingPairs>
  <TitlesOfParts>
    <vt:vector size="1" baseType="lpstr">
      <vt:lpstr>CHAPTER 1</vt:lpstr>
    </vt:vector>
  </TitlesOfParts>
  <Company>ORCA</Company>
  <LinksUpToDate>false</LinksUpToDate>
  <CharactersWithSpaces>38340</CharactersWithSpaces>
  <SharedDoc>false</SharedDoc>
  <HLinks>
    <vt:vector size="12" baseType="variant">
      <vt:variant>
        <vt:i4>6291580</vt:i4>
      </vt:variant>
      <vt:variant>
        <vt:i4>3</vt:i4>
      </vt:variant>
      <vt:variant>
        <vt:i4>0</vt:i4>
      </vt:variant>
      <vt:variant>
        <vt:i4>5</vt:i4>
      </vt:variant>
      <vt:variant>
        <vt:lpwstr>mailto:CDBG_Draws@TexasAgriculture.gov</vt:lpwstr>
      </vt:variant>
      <vt:variant>
        <vt:lpwstr/>
      </vt:variant>
      <vt:variant>
        <vt:i4>5046293</vt:i4>
      </vt:variant>
      <vt:variant>
        <vt:i4>0</vt:i4>
      </vt:variant>
      <vt:variant>
        <vt:i4>0</vt:i4>
      </vt:variant>
      <vt:variant>
        <vt:i4>5</vt:i4>
      </vt:variant>
      <vt:variant>
        <vt:lpwstr>http://www.window.state.tx.us/directdep/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subject>Impl Manual-2007</dc:subject>
  <dc:creator>jhartley</dc:creator>
  <cp:lastModifiedBy>Suzanne Barnard</cp:lastModifiedBy>
  <cp:revision>3</cp:revision>
  <cp:lastPrinted>2022-10-11T19:17:00Z</cp:lastPrinted>
  <dcterms:created xsi:type="dcterms:W3CDTF">2024-07-01T21:33:00Z</dcterms:created>
  <dcterms:modified xsi:type="dcterms:W3CDTF">2024-07-13T21:44:00Z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0x0101000EFD70569911AA43A6BFF25E32FDADE6</vt:lpwstr>
  </property>
</Properties>
</file>